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5E02" w14:textId="77777777" w:rsidR="001B7B71" w:rsidRDefault="00026242">
      <w:pPr>
        <w:pStyle w:val="Heading1"/>
      </w:pPr>
      <w:bookmarkStart w:id="0" w:name="_heading=h.gjdgxs" w:colFirst="0" w:colLast="0"/>
      <w:bookmarkEnd w:id="0"/>
      <w:r>
        <w:t>National Food Strategy - Response from Eating Better</w:t>
      </w:r>
    </w:p>
    <w:p w14:paraId="5BC55E3F" w14:textId="77777777" w:rsidR="001B7B71" w:rsidRDefault="001B7B71"/>
    <w:p w14:paraId="3DBD89D4" w14:textId="5F83C955" w:rsidR="001B7B71" w:rsidRPr="003C4A4A" w:rsidRDefault="00026242">
      <w:pPr>
        <w:rPr>
          <w:rFonts w:asciiTheme="minorHAnsi" w:hAnsiTheme="minorHAnsi"/>
        </w:rPr>
      </w:pPr>
      <w:r w:rsidRPr="003C4A4A">
        <w:rPr>
          <w:rFonts w:asciiTheme="minorHAnsi" w:hAnsiTheme="minorHAnsi"/>
          <w:highlight w:val="white"/>
        </w:rPr>
        <w:t xml:space="preserve">Eating Better is an alliance of </w:t>
      </w:r>
      <w:hyperlink r:id="rId8">
        <w:r w:rsidRPr="003C4A4A">
          <w:rPr>
            <w:rFonts w:asciiTheme="minorHAnsi" w:hAnsiTheme="minorHAnsi"/>
            <w:color w:val="0070C0"/>
            <w:highlight w:val="white"/>
          </w:rPr>
          <w:t>over 60 civil society organisations</w:t>
        </w:r>
      </w:hyperlink>
      <w:r w:rsidR="003C4A4A" w:rsidRPr="003C4A4A">
        <w:rPr>
          <w:rStyle w:val="FootnoteReference"/>
          <w:rFonts w:asciiTheme="minorHAnsi" w:hAnsiTheme="minorHAnsi"/>
          <w:color w:val="0070C0"/>
          <w:highlight w:val="white"/>
        </w:rPr>
        <w:footnoteReference w:id="1"/>
      </w:r>
      <w:r w:rsidRPr="003C4A4A">
        <w:rPr>
          <w:rFonts w:asciiTheme="minorHAnsi" w:hAnsiTheme="minorHAnsi"/>
          <w:color w:val="0070C0"/>
        </w:rPr>
        <w:t xml:space="preserve"> </w:t>
      </w:r>
      <w:r w:rsidRPr="003C4A4A">
        <w:rPr>
          <w:rFonts w:asciiTheme="minorHAnsi" w:hAnsiTheme="minorHAnsi"/>
        </w:rPr>
        <w:t>working to catalyse shifts towards healthy and sustainable food and farming. We bring together expertise on public health, sustainable farming, food waste, social justi</w:t>
      </w:r>
      <w:bookmarkStart w:id="1" w:name="_GoBack"/>
      <w:bookmarkEnd w:id="1"/>
      <w:r w:rsidRPr="003C4A4A">
        <w:rPr>
          <w:rFonts w:asciiTheme="minorHAnsi" w:hAnsiTheme="minorHAnsi"/>
        </w:rPr>
        <w:t xml:space="preserve">ce, animal welfare, environment and conservation. </w:t>
      </w:r>
    </w:p>
    <w:p w14:paraId="2B5D55EB" w14:textId="77777777" w:rsidR="001B7B71" w:rsidRPr="003C4A4A" w:rsidRDefault="001B7B71">
      <w:pPr>
        <w:rPr>
          <w:rFonts w:asciiTheme="minorHAnsi" w:hAnsiTheme="minorHAnsi"/>
        </w:rPr>
      </w:pPr>
    </w:p>
    <w:p w14:paraId="36B5F249" w14:textId="77777777" w:rsidR="001B7B71" w:rsidRPr="003C4A4A" w:rsidRDefault="00026242">
      <w:pPr>
        <w:rPr>
          <w:rFonts w:asciiTheme="minorHAnsi" w:hAnsiTheme="minorHAnsi"/>
        </w:rPr>
      </w:pPr>
      <w:bookmarkStart w:id="2" w:name="_heading=h.30j0zll" w:colFirst="0" w:colLast="0"/>
      <w:bookmarkEnd w:id="2"/>
      <w:r w:rsidRPr="003C4A4A">
        <w:rPr>
          <w:rFonts w:asciiTheme="minorHAnsi" w:hAnsiTheme="minorHAnsi"/>
        </w:rPr>
        <w:t xml:space="preserve">We </w:t>
      </w:r>
      <w:r w:rsidRPr="003C4A4A">
        <w:rPr>
          <w:rFonts w:asciiTheme="minorHAnsi" w:hAnsiTheme="minorHAnsi"/>
          <w:highlight w:val="white"/>
        </w:rPr>
        <w:t>welcome the development of a National Food Strategy</w:t>
      </w:r>
      <w:r w:rsidRPr="003C4A4A">
        <w:rPr>
          <w:rFonts w:asciiTheme="minorHAnsi" w:hAnsiTheme="minorHAnsi"/>
        </w:rPr>
        <w:t xml:space="preserve"> at this crucial time, and recognise that the transition to a sustainable food system that helps avert dangerous climate change, restore nature and improve public health requires leadership from government. With a range of policy measures at its disposal, from procurement to farm policy, the Government can transform the environment where we make food choices, setting the stage to make healthier, more sustainable food choices the norm. </w:t>
      </w:r>
    </w:p>
    <w:p w14:paraId="7D1CB328" w14:textId="77777777" w:rsidR="001B7B71" w:rsidRPr="003C4A4A" w:rsidRDefault="001B7B71">
      <w:pPr>
        <w:rPr>
          <w:rFonts w:asciiTheme="minorHAnsi" w:hAnsiTheme="minorHAnsi"/>
        </w:rPr>
      </w:pPr>
    </w:p>
    <w:p w14:paraId="5112012A" w14:textId="77777777" w:rsidR="001B7B71" w:rsidRPr="003C4A4A" w:rsidRDefault="00026242">
      <w:pPr>
        <w:rPr>
          <w:rFonts w:asciiTheme="minorHAnsi" w:hAnsiTheme="minorHAnsi"/>
        </w:rPr>
      </w:pPr>
      <w:r w:rsidRPr="003C4A4A">
        <w:rPr>
          <w:rFonts w:asciiTheme="minorHAnsi" w:hAnsiTheme="minorHAnsi"/>
        </w:rPr>
        <w:t>We are calling for a 50% reduction from current levels of meat and dairy consumption in the UK by 2030, and for a transition to ‘better’ meat and dairy as standard. It is an achievable target for the UK</w:t>
      </w:r>
      <w:r w:rsidRPr="003C4A4A">
        <w:rPr>
          <w:rFonts w:asciiTheme="minorHAnsi" w:hAnsiTheme="minorHAnsi"/>
          <w:vertAlign w:val="superscript"/>
        </w:rPr>
        <w:footnoteReference w:id="2"/>
      </w:r>
      <w:r w:rsidRPr="003C4A4A">
        <w:rPr>
          <w:rFonts w:asciiTheme="minorHAnsi" w:hAnsiTheme="minorHAnsi"/>
        </w:rPr>
        <w:t>, sitting between business as usual and more ambitious reductions</w:t>
      </w:r>
      <w:r w:rsidRPr="003C4A4A">
        <w:rPr>
          <w:rFonts w:asciiTheme="minorHAnsi" w:hAnsiTheme="minorHAnsi"/>
          <w:vertAlign w:val="superscript"/>
        </w:rPr>
        <w:footnoteReference w:id="3"/>
      </w:r>
      <w:r w:rsidRPr="003C4A4A">
        <w:rPr>
          <w:rFonts w:asciiTheme="minorHAnsi" w:hAnsiTheme="minorHAnsi"/>
        </w:rPr>
        <w:t xml:space="preserve"> which might be necessary in the future to stay within environmental limits</w:t>
      </w:r>
      <w:r w:rsidRPr="003C4A4A">
        <w:rPr>
          <w:rFonts w:asciiTheme="minorHAnsi" w:eastAsia="Arial" w:hAnsiTheme="minorHAnsi" w:cs="Arial"/>
          <w:color w:val="000000"/>
          <w:sz w:val="22"/>
          <w:szCs w:val="22"/>
          <w:vertAlign w:val="superscript"/>
        </w:rPr>
        <w:footnoteReference w:id="4"/>
      </w:r>
      <w:r w:rsidRPr="003C4A4A">
        <w:rPr>
          <w:rFonts w:asciiTheme="minorHAnsi" w:hAnsiTheme="minorHAnsi"/>
        </w:rPr>
        <w:t>. Modelling shows a 50% decrease in meat, dairy and eggs consumption in the EU would mean a 25-40% reduction of GHG emissions, 23% less cropland for food production per capita and a 40% reduction in reactive nitrogen emissions</w:t>
      </w:r>
      <w:r w:rsidRPr="003C4A4A">
        <w:rPr>
          <w:rFonts w:asciiTheme="minorHAnsi" w:hAnsiTheme="minorHAnsi"/>
          <w:vertAlign w:val="superscript"/>
        </w:rPr>
        <w:footnoteReference w:id="5"/>
      </w:r>
      <w:r w:rsidRPr="003C4A4A">
        <w:rPr>
          <w:rFonts w:asciiTheme="minorHAnsi" w:hAnsiTheme="minorHAnsi"/>
        </w:rPr>
        <w:t xml:space="preserve">. Shifting to more plant-based diets will also have significant public health benefits, moving us closer to the official Eatwell Guide, which recommends </w:t>
      </w:r>
      <w:r w:rsidRPr="003C4A4A">
        <w:rPr>
          <w:rFonts w:asciiTheme="minorHAnsi" w:hAnsiTheme="minorHAnsi"/>
          <w:highlight w:val="white"/>
        </w:rPr>
        <w:t xml:space="preserve">at least 76% of our food comes from plants. </w:t>
      </w:r>
    </w:p>
    <w:p w14:paraId="3AC37702" w14:textId="77777777" w:rsidR="001B7B71" w:rsidRPr="003C4A4A" w:rsidRDefault="001B7B71">
      <w:pPr>
        <w:rPr>
          <w:rFonts w:asciiTheme="minorHAnsi" w:hAnsiTheme="minorHAnsi"/>
        </w:rPr>
      </w:pPr>
    </w:p>
    <w:p w14:paraId="77B95DE4" w14:textId="7C94CEDA" w:rsidR="001B7B71" w:rsidRPr="003C4A4A" w:rsidRDefault="00026242">
      <w:pPr>
        <w:rPr>
          <w:rFonts w:asciiTheme="minorHAnsi" w:hAnsiTheme="minorHAnsi"/>
        </w:rPr>
      </w:pPr>
      <w:r w:rsidRPr="003C4A4A">
        <w:rPr>
          <w:rFonts w:asciiTheme="minorHAnsi" w:hAnsiTheme="minorHAnsi"/>
        </w:rPr>
        <w:t xml:space="preserve">We are calling for a reduction in all types of meat and dairy. A transition towards ‘better’ livestock farming for the remaining 50% offers a great opportunity to protect nature in the UK, benefit farm animal welfare, reduce dependence on grain for feeding animals and support soil quality for the production of more plant foods for human consumption, including vegetables, wholegrains, nuts, seeds, fruit and pulses. </w:t>
      </w:r>
      <w:hyperlink r:id="rId9">
        <w:r w:rsidRPr="003C4A4A">
          <w:rPr>
            <w:rFonts w:asciiTheme="minorHAnsi" w:hAnsiTheme="minorHAnsi"/>
            <w:color w:val="0070C0"/>
          </w:rPr>
          <w:t xml:space="preserve">‘Better’ production </w:t>
        </w:r>
        <w:r w:rsidRPr="003C4A4A">
          <w:rPr>
            <w:rFonts w:asciiTheme="minorHAnsi" w:hAnsiTheme="minorHAnsi"/>
            <w:color w:val="0070C0"/>
          </w:rPr>
          <w:lastRenderedPageBreak/>
          <w:t>systems</w:t>
        </w:r>
      </w:hyperlink>
      <w:r w:rsidR="003C4A4A" w:rsidRPr="003C4A4A">
        <w:rPr>
          <w:rStyle w:val="FootnoteReference"/>
          <w:rFonts w:asciiTheme="minorHAnsi" w:hAnsiTheme="minorHAnsi"/>
          <w:color w:val="0070C0"/>
        </w:rPr>
        <w:footnoteReference w:id="6"/>
      </w:r>
      <w:r w:rsidRPr="003C4A4A">
        <w:rPr>
          <w:rFonts w:asciiTheme="minorHAnsi" w:hAnsiTheme="minorHAnsi"/>
        </w:rPr>
        <w:t xml:space="preserve"> focus on farming in tune with the land with fewer inputs and animals and deliver public goods alongside food products, such as high nature value (HNV) farming.</w:t>
      </w:r>
    </w:p>
    <w:p w14:paraId="1D53EFB0" w14:textId="77777777" w:rsidR="001B7B71" w:rsidRPr="003C4A4A" w:rsidRDefault="001B7B71">
      <w:pPr>
        <w:rPr>
          <w:rFonts w:asciiTheme="minorHAnsi" w:hAnsiTheme="minorHAnsi"/>
        </w:rPr>
      </w:pPr>
    </w:p>
    <w:p w14:paraId="381EF028" w14:textId="4843C0FF" w:rsidR="001B7B71" w:rsidRPr="003C4A4A" w:rsidRDefault="00026242">
      <w:pPr>
        <w:rPr>
          <w:rFonts w:asciiTheme="minorHAnsi" w:hAnsiTheme="minorHAnsi"/>
        </w:rPr>
      </w:pPr>
      <w:r w:rsidRPr="003C4A4A">
        <w:rPr>
          <w:rFonts w:asciiTheme="minorHAnsi" w:hAnsiTheme="minorHAnsi"/>
        </w:rPr>
        <w:t xml:space="preserve">There is evidence that public attitudes to sustainable diets are changing. A 2019 YouGov Survey commissioned by Eating Better showed that understanding of livestock’s environmental impact had grown by 23% since 2017. The 2019 survey also found that </w:t>
      </w:r>
      <w:hyperlink r:id="rId10">
        <w:r w:rsidRPr="003C4A4A">
          <w:rPr>
            <w:rFonts w:asciiTheme="minorHAnsi" w:hAnsiTheme="minorHAnsi"/>
            <w:color w:val="0070C0"/>
          </w:rPr>
          <w:t>48% of people in the UK</w:t>
        </w:r>
      </w:hyperlink>
      <w:r w:rsidR="003C4A4A" w:rsidRPr="003C4A4A">
        <w:rPr>
          <w:rStyle w:val="FootnoteReference"/>
          <w:rFonts w:asciiTheme="minorHAnsi" w:hAnsiTheme="minorHAnsi"/>
          <w:color w:val="0070C0"/>
        </w:rPr>
        <w:footnoteReference w:id="7"/>
      </w:r>
      <w:r w:rsidR="003C4A4A" w:rsidRPr="003C4A4A">
        <w:rPr>
          <w:rFonts w:asciiTheme="minorHAnsi" w:hAnsiTheme="minorHAnsi"/>
        </w:rPr>
        <w:t xml:space="preserve"> </w:t>
      </w:r>
      <w:r w:rsidRPr="003C4A4A">
        <w:rPr>
          <w:rFonts w:asciiTheme="minorHAnsi" w:hAnsiTheme="minorHAnsi"/>
        </w:rPr>
        <w:t xml:space="preserve">are willing or already committed to cutting down or cutting out meat. Animal welfare and health remain the principal reasons for people reducing meat. Retailers are responding to this change in attitudes by selling more plant-based options.  </w:t>
      </w:r>
    </w:p>
    <w:p w14:paraId="15EFF15F" w14:textId="77777777" w:rsidR="001B7B71" w:rsidRPr="003C4A4A" w:rsidRDefault="001B7B71">
      <w:pPr>
        <w:rPr>
          <w:rFonts w:asciiTheme="minorHAnsi" w:hAnsiTheme="minorHAnsi"/>
        </w:rPr>
      </w:pPr>
    </w:p>
    <w:p w14:paraId="310B7DE3" w14:textId="12CFAC10" w:rsidR="001B7B71" w:rsidRPr="003C4A4A" w:rsidRDefault="00026242">
      <w:pPr>
        <w:rPr>
          <w:rFonts w:asciiTheme="minorHAnsi" w:hAnsiTheme="minorHAnsi"/>
        </w:rPr>
      </w:pPr>
      <w:r w:rsidRPr="003C4A4A">
        <w:rPr>
          <w:rFonts w:asciiTheme="minorHAnsi" w:hAnsiTheme="minorHAnsi"/>
        </w:rPr>
        <w:t xml:space="preserve">People can only make healthy and sustainable food choices where they are available, so providing the right food environment will be essential. The Eating Better alliance has reached consensus on a way forward, set out in </w:t>
      </w:r>
      <w:r w:rsidRPr="003C4A4A">
        <w:rPr>
          <w:rFonts w:asciiTheme="minorHAnsi" w:hAnsiTheme="minorHAnsi"/>
          <w:i/>
        </w:rPr>
        <w:t xml:space="preserve">Better by half: A roadmap to less and better meat and dairy. </w:t>
      </w:r>
      <w:r w:rsidRPr="003C4A4A">
        <w:rPr>
          <w:rFonts w:asciiTheme="minorHAnsi" w:hAnsiTheme="minorHAnsi"/>
        </w:rPr>
        <w:t xml:space="preserve">The roadmap identifies </w:t>
      </w:r>
      <w:hyperlink r:id="rId11">
        <w:r w:rsidRPr="003C4A4A">
          <w:rPr>
            <w:rFonts w:asciiTheme="minorHAnsi" w:hAnsiTheme="minorHAnsi"/>
            <w:color w:val="0070C0"/>
          </w:rPr>
          <w:t>24 levers for government, food service, retailers, food producers and investors</w:t>
        </w:r>
      </w:hyperlink>
      <w:r w:rsidR="003C4A4A" w:rsidRPr="003C4A4A">
        <w:rPr>
          <w:rStyle w:val="FootnoteReference"/>
          <w:rFonts w:asciiTheme="minorHAnsi" w:hAnsiTheme="minorHAnsi"/>
          <w:color w:val="0070C0"/>
        </w:rPr>
        <w:footnoteReference w:id="8"/>
      </w:r>
      <w:r w:rsidRPr="003C4A4A">
        <w:rPr>
          <w:rFonts w:asciiTheme="minorHAnsi" w:hAnsiTheme="minorHAnsi"/>
        </w:rPr>
        <w:t>, outlines where change needs to happen and by who, and shows examples of best practice already happening.</w:t>
      </w:r>
    </w:p>
    <w:p w14:paraId="20E94608" w14:textId="77777777" w:rsidR="001B7B71" w:rsidRPr="003C4A4A" w:rsidRDefault="001B7B71">
      <w:pPr>
        <w:rPr>
          <w:rFonts w:asciiTheme="minorHAnsi" w:hAnsiTheme="minorHAnsi"/>
        </w:rPr>
      </w:pPr>
    </w:p>
    <w:p w14:paraId="30306F35" w14:textId="77777777" w:rsidR="001B7B71" w:rsidRPr="003C4A4A" w:rsidRDefault="00026242">
      <w:pPr>
        <w:rPr>
          <w:rFonts w:asciiTheme="minorHAnsi" w:hAnsiTheme="minorHAnsi"/>
        </w:rPr>
      </w:pPr>
      <w:r w:rsidRPr="003C4A4A">
        <w:rPr>
          <w:rFonts w:asciiTheme="minorHAnsi" w:hAnsiTheme="minorHAnsi"/>
        </w:rPr>
        <w:t xml:space="preserve">First and foremost is the critical need for Government to </w:t>
      </w:r>
      <w:r w:rsidRPr="003C4A4A">
        <w:rPr>
          <w:rFonts w:asciiTheme="minorHAnsi" w:hAnsiTheme="minorHAnsi"/>
          <w:b/>
        </w:rPr>
        <w:t>deliver an ambitious cross-departmental food and farming strategy</w:t>
      </w:r>
      <w:r w:rsidRPr="003C4A4A">
        <w:rPr>
          <w:rFonts w:asciiTheme="minorHAnsi" w:hAnsiTheme="minorHAnsi"/>
        </w:rPr>
        <w:t xml:space="preserve">, ensuring that policies that impact food and farming are connected across government and contain an explicit commitment to healthy and sustainable diets. A better food environment needs a holistic approach to policy making, one that brings together departments with shared interests and embeds a requirement for promoting sustainable production and consumption across government. Strategic mandatory targets should be set on key issues, including climate change, obesity, nutrition-related non-communicable diseases, food security, biodiversity, pollution control and land use change, and require departments to report on performance. </w:t>
      </w:r>
    </w:p>
    <w:p w14:paraId="4D2716F9" w14:textId="77777777" w:rsidR="001B7B71" w:rsidRPr="003C4A4A" w:rsidRDefault="001B7B71">
      <w:pPr>
        <w:rPr>
          <w:rFonts w:asciiTheme="minorHAnsi" w:hAnsiTheme="minorHAnsi"/>
        </w:rPr>
      </w:pPr>
    </w:p>
    <w:p w14:paraId="6FA93CAD" w14:textId="77777777" w:rsidR="001B7B71" w:rsidRPr="003C4A4A" w:rsidRDefault="00026242">
      <w:pPr>
        <w:rPr>
          <w:rFonts w:asciiTheme="minorHAnsi" w:hAnsiTheme="minorHAnsi"/>
        </w:rPr>
      </w:pPr>
      <w:r w:rsidRPr="003C4A4A">
        <w:rPr>
          <w:rFonts w:asciiTheme="minorHAnsi" w:hAnsiTheme="minorHAnsi"/>
        </w:rPr>
        <w:t>Alliance consensus is that the following present the biggest opportunities for government to drive progress within a comprehensive food and farming strategy:</w:t>
      </w:r>
    </w:p>
    <w:p w14:paraId="4A899A1B" w14:textId="77777777" w:rsidR="001B7B71" w:rsidRPr="003C4A4A" w:rsidRDefault="001B7B71">
      <w:pPr>
        <w:rPr>
          <w:rFonts w:asciiTheme="minorHAnsi" w:eastAsia="Arial" w:hAnsiTheme="minorHAnsi" w:cs="Arial"/>
          <w:color w:val="333E48"/>
          <w:sz w:val="23"/>
          <w:szCs w:val="23"/>
          <w:highlight w:val="white"/>
        </w:rPr>
      </w:pPr>
    </w:p>
    <w:p w14:paraId="1BE9CEF5" w14:textId="77777777" w:rsidR="001B7B71" w:rsidRPr="003C4A4A" w:rsidRDefault="00026242">
      <w:pPr>
        <w:rPr>
          <w:rFonts w:asciiTheme="minorHAnsi" w:hAnsiTheme="minorHAnsi"/>
          <w:b/>
        </w:rPr>
      </w:pPr>
      <w:r w:rsidRPr="003C4A4A">
        <w:rPr>
          <w:rFonts w:asciiTheme="minorHAnsi" w:hAnsiTheme="minorHAnsi"/>
          <w:b/>
          <w:color w:val="333E48"/>
        </w:rPr>
        <w:t>N</w:t>
      </w:r>
      <w:r w:rsidRPr="003C4A4A">
        <w:rPr>
          <w:rFonts w:asciiTheme="minorHAnsi" w:hAnsiTheme="minorHAnsi"/>
          <w:b/>
          <w:color w:val="000000"/>
        </w:rPr>
        <w:t>ormalise sustainable diets through public procurement</w:t>
      </w:r>
      <w:r w:rsidRPr="003C4A4A">
        <w:rPr>
          <w:rFonts w:asciiTheme="minorHAnsi" w:hAnsiTheme="minorHAnsi"/>
          <w:b/>
        </w:rPr>
        <w:t xml:space="preserve"> </w:t>
      </w:r>
    </w:p>
    <w:p w14:paraId="73B55BFA" w14:textId="77777777" w:rsidR="001B7B71" w:rsidRPr="003C4A4A" w:rsidRDefault="00026242">
      <w:pPr>
        <w:rPr>
          <w:rFonts w:asciiTheme="minorHAnsi" w:hAnsiTheme="minorHAnsi"/>
        </w:rPr>
      </w:pPr>
      <w:r w:rsidRPr="003C4A4A">
        <w:rPr>
          <w:rFonts w:asciiTheme="minorHAnsi" w:hAnsiTheme="minorHAnsi"/>
        </w:rPr>
        <w:t xml:space="preserve">Public procurement of food for hospitals, schools, military, government buildings and prisons should reflect dietary guidelines and normalise diets that include more plant proteins and less and better meat. With both the School Food Standards and Government Buying Standards currently under review, a key opportunity is setting targets for meat and dairy reduction and for increasing the plant-protein (nuts, seeds and pulses) offer. Public </w:t>
      </w:r>
      <w:r w:rsidRPr="003C4A4A">
        <w:rPr>
          <w:rFonts w:asciiTheme="minorHAnsi" w:hAnsiTheme="minorHAnsi"/>
        </w:rPr>
        <w:lastRenderedPageBreak/>
        <w:t>settings should also be encouraged to use the cost saving from switching to plant-protein to ‘trade up’ to better meat for other meals, benefitting sustainable UK livestock farmers.</w:t>
      </w:r>
    </w:p>
    <w:p w14:paraId="0F9670E5" w14:textId="77777777" w:rsidR="001B7B71" w:rsidRPr="003C4A4A" w:rsidRDefault="001B7B71">
      <w:pPr>
        <w:rPr>
          <w:rFonts w:asciiTheme="minorHAnsi" w:hAnsiTheme="minorHAnsi"/>
        </w:rPr>
      </w:pPr>
    </w:p>
    <w:p w14:paraId="1975CA66" w14:textId="702943D5" w:rsidR="001B7B71" w:rsidRPr="003C4A4A" w:rsidRDefault="00E57BDC">
      <w:pPr>
        <w:rPr>
          <w:rFonts w:asciiTheme="minorHAnsi" w:hAnsiTheme="minorHAnsi"/>
        </w:rPr>
      </w:pPr>
      <w:hyperlink r:id="rId12" w:anchor="2-2">
        <w:r w:rsidR="00026242" w:rsidRPr="003C4A4A">
          <w:rPr>
            <w:rFonts w:asciiTheme="minorHAnsi" w:hAnsiTheme="minorHAnsi"/>
            <w:color w:val="0070C0"/>
          </w:rPr>
          <w:t>Procurement Across London (PAL)</w:t>
        </w:r>
      </w:hyperlink>
      <w:r w:rsidR="003C4A4A" w:rsidRPr="003C4A4A">
        <w:rPr>
          <w:rStyle w:val="FootnoteReference"/>
          <w:rFonts w:asciiTheme="minorHAnsi" w:hAnsiTheme="minorHAnsi"/>
          <w:color w:val="0070C0"/>
        </w:rPr>
        <w:footnoteReference w:id="9"/>
      </w:r>
      <w:r w:rsidR="00026242" w:rsidRPr="003C4A4A">
        <w:rPr>
          <w:rFonts w:asciiTheme="minorHAnsi" w:hAnsiTheme="minorHAnsi"/>
        </w:rPr>
        <w:t xml:space="preserve"> is a collaborative project across London local authorities that has allowed them to increase supply chain standards and the nutritional quality of meals. Boroughs have access to a procurement framework for catering contracts, to add volume and spend with other boroughs and increase the affordability of sustainable food. The Royal Borough of Greenwich’s catering provider supplies 25,000 meals daily. Working through PAL, it has received the Good Egg Award, Good Chicken Award and Good Dairy Commendation, it sources only Outdoor Bred Pork and runs Meat Free Mondays. The borough is at the top of the league table for having the healthiest and most sustainable food in London.</w:t>
      </w:r>
    </w:p>
    <w:p w14:paraId="56E2704A" w14:textId="77777777" w:rsidR="001B7B71" w:rsidRPr="003C4A4A" w:rsidRDefault="001B7B71">
      <w:pPr>
        <w:rPr>
          <w:rFonts w:asciiTheme="minorHAnsi" w:hAnsiTheme="minorHAnsi"/>
          <w:b/>
        </w:rPr>
      </w:pPr>
    </w:p>
    <w:p w14:paraId="47FA9A6D" w14:textId="77777777" w:rsidR="001B7B71" w:rsidRPr="003C4A4A" w:rsidRDefault="00026242">
      <w:pPr>
        <w:rPr>
          <w:rFonts w:asciiTheme="minorHAnsi" w:hAnsiTheme="minorHAnsi"/>
          <w:b/>
        </w:rPr>
      </w:pPr>
      <w:r w:rsidRPr="003C4A4A">
        <w:rPr>
          <w:rFonts w:asciiTheme="minorHAnsi" w:hAnsiTheme="minorHAnsi"/>
          <w:b/>
        </w:rPr>
        <w:t>Rebalance agricultural policy towards plant production and better meat and dairy</w:t>
      </w:r>
    </w:p>
    <w:p w14:paraId="740335BD" w14:textId="67A3CCC3" w:rsidR="001B7B71" w:rsidRPr="003C4A4A" w:rsidRDefault="00026242">
      <w:pPr>
        <w:rPr>
          <w:rFonts w:asciiTheme="minorHAnsi" w:hAnsiTheme="minorHAnsi"/>
        </w:rPr>
      </w:pPr>
      <w:r w:rsidRPr="003C4A4A">
        <w:rPr>
          <w:rFonts w:asciiTheme="minorHAnsi" w:hAnsiTheme="minorHAnsi"/>
        </w:rPr>
        <w:t>The RSA Food, Farming and Countryside Commission has called for a 10 Year Transition to Agroecology. This will involve a shift towards less meat and dairy and include increasing the production for human consumption of vegetables, wholegrains, nuts, seeds, fruit and pulses that grow well in the UK. It also means driving a transition to ‘</w:t>
      </w:r>
      <w:hyperlink r:id="rId13">
        <w:r w:rsidRPr="003C4A4A">
          <w:rPr>
            <w:rFonts w:asciiTheme="minorHAnsi" w:hAnsiTheme="minorHAnsi"/>
            <w:color w:val="0070C0"/>
          </w:rPr>
          <w:t>better</w:t>
        </w:r>
      </w:hyperlink>
      <w:r w:rsidR="003C4A4A" w:rsidRPr="003C4A4A">
        <w:rPr>
          <w:rFonts w:asciiTheme="minorHAnsi" w:hAnsiTheme="minorHAnsi"/>
        </w:rPr>
        <w:t>’</w:t>
      </w:r>
      <w:r w:rsidR="003C4A4A" w:rsidRPr="003C4A4A">
        <w:rPr>
          <w:rStyle w:val="FootnoteReference"/>
          <w:rFonts w:asciiTheme="minorHAnsi" w:hAnsiTheme="minorHAnsi"/>
          <w:color w:val="0070C0"/>
        </w:rPr>
        <w:footnoteReference w:id="10"/>
      </w:r>
      <w:r w:rsidRPr="003C4A4A">
        <w:rPr>
          <w:rFonts w:asciiTheme="minorHAnsi" w:hAnsiTheme="minorHAnsi"/>
        </w:rPr>
        <w:t xml:space="preserve"> livestock farming and moving away from intensive, unsustainable modes of production for plant and animal foods. </w:t>
      </w:r>
    </w:p>
    <w:p w14:paraId="3A319450" w14:textId="77777777" w:rsidR="001B7B71" w:rsidRPr="003C4A4A" w:rsidRDefault="001B7B71">
      <w:pPr>
        <w:rPr>
          <w:rFonts w:asciiTheme="minorHAnsi" w:hAnsiTheme="minorHAnsi"/>
        </w:rPr>
      </w:pPr>
    </w:p>
    <w:p w14:paraId="1B139642" w14:textId="77777777" w:rsidR="001B7B71" w:rsidRPr="003C4A4A" w:rsidRDefault="00026242">
      <w:pPr>
        <w:rPr>
          <w:rFonts w:asciiTheme="minorHAnsi" w:hAnsiTheme="minorHAnsi"/>
        </w:rPr>
      </w:pPr>
      <w:r w:rsidRPr="003C4A4A">
        <w:rPr>
          <w:rFonts w:asciiTheme="minorHAnsi" w:hAnsiTheme="minorHAnsi"/>
        </w:rPr>
        <w:t xml:space="preserve">Producers need the right incentives and enabling environment from government to move towards producing healthy, sustainable, affordable food. Specifically, this will include implementing a system of payments for public goods that rewards increasing biodiversity and tree cover, lowering greenhouse gas emissions, water and air pollution. Comprehensive advice should be available to ensure the profitability of sustainable farms and uptake of agri-environment schemes. Encouraging farmers to transition to mixed farming systems, agroecology and agroforestry, will be key. </w:t>
      </w:r>
    </w:p>
    <w:p w14:paraId="5978299B" w14:textId="77777777" w:rsidR="001B7B71" w:rsidRPr="003C4A4A" w:rsidRDefault="001B7B71">
      <w:pPr>
        <w:rPr>
          <w:rFonts w:asciiTheme="minorHAnsi" w:hAnsiTheme="minorHAnsi"/>
        </w:rPr>
      </w:pPr>
    </w:p>
    <w:p w14:paraId="71E11205" w14:textId="77777777" w:rsidR="001B7B71" w:rsidRPr="003C4A4A" w:rsidRDefault="00026242">
      <w:pPr>
        <w:rPr>
          <w:rFonts w:asciiTheme="minorHAnsi" w:hAnsiTheme="minorHAnsi"/>
        </w:rPr>
      </w:pPr>
      <w:r w:rsidRPr="003C4A4A">
        <w:rPr>
          <w:rFonts w:asciiTheme="minorHAnsi" w:hAnsiTheme="minorHAnsi"/>
          <w:b/>
        </w:rPr>
        <w:t>Require retailers to</w:t>
      </w:r>
      <w:r w:rsidRPr="003C4A4A">
        <w:rPr>
          <w:rFonts w:asciiTheme="minorHAnsi" w:hAnsiTheme="minorHAnsi"/>
        </w:rPr>
        <w:t xml:space="preserve"> </w:t>
      </w:r>
      <w:r w:rsidRPr="003C4A4A">
        <w:rPr>
          <w:rFonts w:asciiTheme="minorHAnsi" w:hAnsiTheme="minorHAnsi"/>
          <w:b/>
        </w:rPr>
        <w:t>label origin and method of production for all meat and dairy</w:t>
      </w:r>
      <w:r w:rsidRPr="003C4A4A">
        <w:rPr>
          <w:rFonts w:asciiTheme="minorHAnsi" w:hAnsiTheme="minorHAnsi"/>
        </w:rPr>
        <w:t xml:space="preserve"> </w:t>
      </w:r>
    </w:p>
    <w:p w14:paraId="627D4D8A" w14:textId="77777777" w:rsidR="001B7B71" w:rsidRPr="003C4A4A" w:rsidRDefault="00026242">
      <w:pPr>
        <w:rPr>
          <w:rFonts w:asciiTheme="minorHAnsi" w:hAnsiTheme="minorHAnsi"/>
        </w:rPr>
      </w:pPr>
      <w:r w:rsidRPr="003C4A4A">
        <w:rPr>
          <w:rFonts w:asciiTheme="minorHAnsi" w:hAnsiTheme="minorHAnsi"/>
        </w:rPr>
        <w:t>For people to make informed food choices transparency, through clearly identifiable information on the packaging or at the point of sale, is essential. Recognisable labels from credible certification schemes work well, but currently cover only premium products. Retailers should be required to provide clear information on origin and method of production that covers all animal products, including ingredients.</w:t>
      </w:r>
    </w:p>
    <w:p w14:paraId="7C148D8E" w14:textId="77777777" w:rsidR="001B7B71" w:rsidRPr="003C4A4A" w:rsidRDefault="001B7B71">
      <w:pPr>
        <w:rPr>
          <w:rFonts w:asciiTheme="minorHAnsi" w:hAnsiTheme="minorHAnsi"/>
        </w:rPr>
      </w:pPr>
    </w:p>
    <w:p w14:paraId="3B878C67" w14:textId="58CB1AE8" w:rsidR="001B7B71" w:rsidRPr="003C4A4A" w:rsidRDefault="00026242">
      <w:pPr>
        <w:rPr>
          <w:rFonts w:asciiTheme="minorHAnsi" w:hAnsiTheme="minorHAnsi"/>
        </w:rPr>
      </w:pPr>
      <w:r w:rsidRPr="003C4A4A">
        <w:rPr>
          <w:rFonts w:asciiTheme="minorHAnsi" w:hAnsiTheme="minorHAnsi"/>
        </w:rPr>
        <w:t xml:space="preserve">To ensure labelling coherence across the sector, the government should introduce mandatory, standardised method of production labelling. In Germany, all main </w:t>
      </w:r>
      <w:r w:rsidRPr="003C4A4A">
        <w:rPr>
          <w:rFonts w:asciiTheme="minorHAnsi" w:hAnsiTheme="minorHAnsi"/>
        </w:rPr>
        <w:lastRenderedPageBreak/>
        <w:t>supermarkets use</w:t>
      </w:r>
      <w:hyperlink r:id="rId14" w:anchor="0-1" w:history="1">
        <w:r w:rsidRPr="003C4A4A">
          <w:rPr>
            <w:rStyle w:val="Hyperlink"/>
            <w:rFonts w:asciiTheme="minorHAnsi" w:hAnsiTheme="minorHAnsi"/>
            <w:color w:val="0070C0"/>
            <w:u w:val="none"/>
          </w:rPr>
          <w:t xml:space="preserve"> a unified ‘method of production’ labelling scheme</w:t>
        </w:r>
      </w:hyperlink>
      <w:r w:rsidR="003C4A4A" w:rsidRPr="003C4A4A">
        <w:rPr>
          <w:rStyle w:val="FootnoteReference"/>
          <w:rFonts w:asciiTheme="minorHAnsi" w:hAnsiTheme="minorHAnsi"/>
          <w:color w:val="0070C0"/>
        </w:rPr>
        <w:footnoteReference w:id="11"/>
      </w:r>
      <w:r w:rsidRPr="003C4A4A">
        <w:rPr>
          <w:rFonts w:asciiTheme="minorHAnsi" w:hAnsiTheme="minorHAnsi"/>
          <w:color w:val="0070C0"/>
        </w:rPr>
        <w:t xml:space="preserve"> </w:t>
      </w:r>
      <w:r w:rsidRPr="003C4A4A">
        <w:rPr>
          <w:rFonts w:asciiTheme="minorHAnsi" w:hAnsiTheme="minorHAnsi"/>
        </w:rPr>
        <w:t xml:space="preserve">that identifies how the animals were reared. The labels display a simple, descriptive message to help people make a more informed purchasing decision about the product. In the UK, </w:t>
      </w:r>
      <w:hyperlink r:id="rId15">
        <w:r w:rsidRPr="003C4A4A">
          <w:rPr>
            <w:rFonts w:asciiTheme="minorHAnsi" w:hAnsiTheme="minorHAnsi"/>
            <w:color w:val="0070C0"/>
          </w:rPr>
          <w:t>Lidl</w:t>
        </w:r>
      </w:hyperlink>
      <w:r w:rsidR="003C4A4A" w:rsidRPr="003C4A4A">
        <w:rPr>
          <w:rStyle w:val="FootnoteReference"/>
          <w:rFonts w:asciiTheme="minorHAnsi" w:hAnsiTheme="minorHAnsi"/>
          <w:color w:val="0070C0"/>
        </w:rPr>
        <w:footnoteReference w:id="12"/>
      </w:r>
      <w:r w:rsidRPr="003C4A4A">
        <w:rPr>
          <w:rFonts w:asciiTheme="minorHAnsi" w:hAnsiTheme="minorHAnsi"/>
          <w:color w:val="0070C0"/>
        </w:rPr>
        <w:t xml:space="preserve"> </w:t>
      </w:r>
      <w:r w:rsidRPr="003C4A4A">
        <w:rPr>
          <w:rFonts w:asciiTheme="minorHAnsi" w:hAnsiTheme="minorHAnsi"/>
        </w:rPr>
        <w:t xml:space="preserve">is introducing a similar system for chicken products. </w:t>
      </w:r>
    </w:p>
    <w:p w14:paraId="5A222328" w14:textId="77777777" w:rsidR="001B7B71" w:rsidRPr="003C4A4A" w:rsidRDefault="001B7B71">
      <w:pPr>
        <w:rPr>
          <w:rFonts w:asciiTheme="minorHAnsi" w:hAnsiTheme="minorHAnsi"/>
        </w:rPr>
      </w:pPr>
    </w:p>
    <w:p w14:paraId="6AABAA44" w14:textId="77777777" w:rsidR="001B7B71" w:rsidRPr="003C4A4A" w:rsidRDefault="00026242">
      <w:pPr>
        <w:rPr>
          <w:rFonts w:asciiTheme="minorHAnsi" w:hAnsiTheme="minorHAnsi"/>
          <w:b/>
        </w:rPr>
      </w:pPr>
      <w:r w:rsidRPr="003C4A4A">
        <w:rPr>
          <w:rFonts w:asciiTheme="minorHAnsi" w:hAnsiTheme="minorHAnsi"/>
          <w:b/>
        </w:rPr>
        <w:t xml:space="preserve">Make vegetables and better meat affordable </w:t>
      </w:r>
    </w:p>
    <w:p w14:paraId="56AFF2C1" w14:textId="77777777" w:rsidR="001B7B71" w:rsidRPr="003C4A4A" w:rsidRDefault="00026242">
      <w:pPr>
        <w:rPr>
          <w:rFonts w:asciiTheme="minorHAnsi" w:hAnsiTheme="minorHAnsi"/>
        </w:rPr>
      </w:pPr>
      <w:r w:rsidRPr="003C4A4A">
        <w:rPr>
          <w:rFonts w:asciiTheme="minorHAnsi" w:hAnsiTheme="minorHAnsi"/>
        </w:rPr>
        <w:t xml:space="preserve">Price and affordability are key obstacles limiting access to a healthy sustainable diet, rich in vegetables, whole grains and plant proteins with less and better meat. </w:t>
      </w:r>
    </w:p>
    <w:p w14:paraId="3700C036" w14:textId="77777777" w:rsidR="001B7B71" w:rsidRPr="003C4A4A" w:rsidRDefault="001B7B71">
      <w:pPr>
        <w:rPr>
          <w:rFonts w:asciiTheme="minorHAnsi" w:hAnsiTheme="minorHAnsi"/>
        </w:rPr>
      </w:pPr>
    </w:p>
    <w:p w14:paraId="32DAB940" w14:textId="13A2E487" w:rsidR="001B7B71" w:rsidRPr="003C4A4A" w:rsidRDefault="00026242">
      <w:pPr>
        <w:rPr>
          <w:rFonts w:asciiTheme="minorHAnsi" w:hAnsiTheme="minorHAnsi"/>
        </w:rPr>
      </w:pPr>
      <w:r w:rsidRPr="003C4A4A">
        <w:rPr>
          <w:rFonts w:asciiTheme="minorHAnsi" w:hAnsiTheme="minorHAnsi"/>
        </w:rPr>
        <w:t>Consumption-based food subsidies are needed to promote better access, and would support the development of the market for local produce. The existing scheme, Healthy Start, is hampered by its limited scope and could be greatly improved and extended.</w:t>
      </w:r>
      <w:r w:rsidRPr="003C4A4A">
        <w:rPr>
          <w:rFonts w:asciiTheme="minorHAnsi" w:hAnsiTheme="minorHAnsi"/>
          <w:color w:val="0070C0"/>
        </w:rPr>
        <w:t xml:space="preserve"> </w:t>
      </w:r>
      <w:hyperlink r:id="rId16" w:anchor="7-2" w:history="1">
        <w:r w:rsidRPr="003C4A4A">
          <w:rPr>
            <w:rStyle w:val="Hyperlink"/>
            <w:rFonts w:asciiTheme="minorHAnsi" w:hAnsiTheme="minorHAnsi"/>
            <w:color w:val="0070C0"/>
            <w:u w:val="none"/>
          </w:rPr>
          <w:t>Rose Vouchers</w:t>
        </w:r>
      </w:hyperlink>
      <w:r w:rsidR="003C4A4A" w:rsidRPr="003C4A4A">
        <w:rPr>
          <w:rStyle w:val="FootnoteReference"/>
          <w:rFonts w:asciiTheme="minorHAnsi" w:hAnsiTheme="minorHAnsi"/>
          <w:color w:val="0070C0"/>
        </w:rPr>
        <w:footnoteReference w:id="13"/>
      </w:r>
      <w:r w:rsidRPr="003C4A4A">
        <w:rPr>
          <w:rFonts w:asciiTheme="minorHAnsi" w:hAnsiTheme="minorHAnsi"/>
        </w:rPr>
        <w:t xml:space="preserve"> double the value of Healthy Start to help families buy a good variety of fresh fruit and vegetables. The vouchers can be redeemed at local markets. Participants report a </w:t>
      </w:r>
      <w:hyperlink r:id="rId17" w:history="1">
        <w:r w:rsidRPr="003C4A4A">
          <w:rPr>
            <w:rStyle w:val="Hyperlink"/>
            <w:rFonts w:asciiTheme="minorHAnsi" w:hAnsiTheme="minorHAnsi"/>
            <w:color w:val="0070C0"/>
            <w:u w:val="none"/>
          </w:rPr>
          <w:t>95% increase in fruit and vegetable consumption</w:t>
        </w:r>
      </w:hyperlink>
      <w:r w:rsidR="003C4A4A" w:rsidRPr="003C4A4A">
        <w:rPr>
          <w:rStyle w:val="FootnoteReference"/>
          <w:rFonts w:asciiTheme="minorHAnsi" w:hAnsiTheme="minorHAnsi"/>
        </w:rPr>
        <w:footnoteReference w:id="14"/>
      </w:r>
      <w:r w:rsidRPr="003C4A4A">
        <w:rPr>
          <w:rFonts w:asciiTheme="minorHAnsi" w:hAnsiTheme="minorHAnsi"/>
        </w:rPr>
        <w:t>.</w:t>
      </w:r>
    </w:p>
    <w:p w14:paraId="0C0199BB" w14:textId="77777777" w:rsidR="001B7B71" w:rsidRPr="003C4A4A" w:rsidRDefault="001B7B71">
      <w:pPr>
        <w:rPr>
          <w:rFonts w:asciiTheme="minorHAnsi" w:hAnsiTheme="minorHAnsi"/>
        </w:rPr>
      </w:pPr>
    </w:p>
    <w:p w14:paraId="3473475E" w14:textId="77777777" w:rsidR="001B7B71" w:rsidRPr="003C4A4A" w:rsidRDefault="00026242">
      <w:pPr>
        <w:rPr>
          <w:rFonts w:asciiTheme="minorHAnsi" w:hAnsiTheme="minorHAnsi"/>
        </w:rPr>
      </w:pPr>
      <w:r w:rsidRPr="003C4A4A">
        <w:rPr>
          <w:rFonts w:asciiTheme="minorHAnsi" w:hAnsiTheme="minorHAnsi"/>
        </w:rPr>
        <w:t xml:space="preserve">For the greatest impact, schemes should aim towards universal provision and be tied to supporting sustainable, local or regional producers. </w:t>
      </w:r>
    </w:p>
    <w:p w14:paraId="4585AFF9" w14:textId="77777777" w:rsidR="001B7B71" w:rsidRDefault="001B7B71"/>
    <w:p w14:paraId="34BCC098" w14:textId="77777777" w:rsidR="001B7B71" w:rsidRDefault="00026242">
      <w:r>
        <w:br w:type="page"/>
      </w:r>
    </w:p>
    <w:p w14:paraId="48355897" w14:textId="77777777" w:rsidR="001B7B71" w:rsidRDefault="001B7B71">
      <w:pPr>
        <w:rPr>
          <w:color w:val="333E48"/>
          <w:sz w:val="20"/>
          <w:szCs w:val="20"/>
          <w:highlight w:val="white"/>
        </w:rPr>
        <w:sectPr w:rsidR="001B7B71">
          <w:headerReference w:type="default" r:id="rId18"/>
          <w:footerReference w:type="even" r:id="rId19"/>
          <w:footerReference w:type="default" r:id="rId20"/>
          <w:pgSz w:w="12240" w:h="15840"/>
          <w:pgMar w:top="1440" w:right="1440" w:bottom="1440" w:left="1440" w:header="720" w:footer="720" w:gutter="0"/>
          <w:pgNumType w:start="1"/>
          <w:cols w:space="720" w:equalWidth="0">
            <w:col w:w="9360"/>
          </w:cols>
        </w:sectPr>
      </w:pPr>
    </w:p>
    <w:p w14:paraId="4E731B15" w14:textId="77777777" w:rsidR="005877DE" w:rsidRDefault="005877DE" w:rsidP="005877DE">
      <w:pPr>
        <w:ind w:left="-709"/>
        <w:rPr>
          <w:rFonts w:ascii="Calibri" w:eastAsia="Calibri" w:hAnsi="Calibri" w:cs="Calibri"/>
          <w:b/>
          <w:color w:val="333E48"/>
          <w:sz w:val="32"/>
          <w:szCs w:val="32"/>
          <w:highlight w:val="white"/>
        </w:rPr>
      </w:pPr>
    </w:p>
    <w:p w14:paraId="094E154D" w14:textId="77777777" w:rsidR="005877DE" w:rsidRDefault="005877DE" w:rsidP="005877DE">
      <w:pPr>
        <w:ind w:left="-709"/>
        <w:rPr>
          <w:rFonts w:ascii="Calibri" w:eastAsia="Calibri" w:hAnsi="Calibri" w:cs="Calibri"/>
          <w:b/>
          <w:color w:val="333E48"/>
          <w:sz w:val="32"/>
          <w:szCs w:val="32"/>
          <w:highlight w:val="white"/>
        </w:rPr>
      </w:pPr>
    </w:p>
    <w:p w14:paraId="004AC823" w14:textId="1393ED4A" w:rsidR="005877DE" w:rsidRPr="005877DE" w:rsidRDefault="00026242" w:rsidP="005877DE">
      <w:pPr>
        <w:ind w:left="-709"/>
        <w:rPr>
          <w:rFonts w:ascii="Calibri" w:eastAsia="Calibri" w:hAnsi="Calibri" w:cs="Calibri"/>
          <w:b/>
          <w:color w:val="333E48"/>
          <w:sz w:val="32"/>
          <w:szCs w:val="32"/>
          <w:highlight w:val="white"/>
        </w:rPr>
      </w:pPr>
      <w:r>
        <w:rPr>
          <w:rFonts w:ascii="Calibri" w:eastAsia="Calibri" w:hAnsi="Calibri" w:cs="Calibri"/>
          <w:b/>
          <w:color w:val="333E48"/>
          <w:sz w:val="32"/>
          <w:szCs w:val="32"/>
          <w:highlight w:val="white"/>
        </w:rPr>
        <w:t>Eating Better is an alliance of the following organisations:</w:t>
      </w:r>
    </w:p>
    <w:p w14:paraId="07A973FF" w14:textId="0AD3C2A6" w:rsidR="005877DE" w:rsidRDefault="005877DE" w:rsidP="005877DE">
      <w:pPr>
        <w:rPr>
          <w:color w:val="333E48"/>
          <w:sz w:val="20"/>
          <w:szCs w:val="20"/>
        </w:rPr>
      </w:pPr>
    </w:p>
    <w:p w14:paraId="78DF18F1" w14:textId="77777777" w:rsidR="005877DE" w:rsidRDefault="005877DE" w:rsidP="005877DE">
      <w:pPr>
        <w:rPr>
          <w:color w:val="333E48"/>
          <w:sz w:val="20"/>
          <w:szCs w:val="20"/>
        </w:rPr>
      </w:pPr>
    </w:p>
    <w:p w14:paraId="5717F1A5" w14:textId="77777777" w:rsidR="005877DE" w:rsidRDefault="005877DE" w:rsidP="005877DE">
      <w:pPr>
        <w:ind w:left="-567"/>
        <w:rPr>
          <w:color w:val="333E48"/>
          <w:sz w:val="20"/>
          <w:szCs w:val="20"/>
        </w:rPr>
      </w:pPr>
    </w:p>
    <w:p w14:paraId="6A425FFB" w14:textId="77777777" w:rsidR="005877DE" w:rsidRDefault="005877DE" w:rsidP="005877DE">
      <w:pPr>
        <w:ind w:left="-567"/>
        <w:rPr>
          <w:color w:val="333E48"/>
          <w:sz w:val="20"/>
          <w:szCs w:val="20"/>
        </w:rPr>
      </w:pPr>
    </w:p>
    <w:p w14:paraId="3ADE1955" w14:textId="4C9E26C6" w:rsidR="005877DE" w:rsidRDefault="005877DE" w:rsidP="005877DE">
      <w:pPr>
        <w:ind w:left="-567"/>
        <w:rPr>
          <w:color w:val="333E48"/>
          <w:sz w:val="20"/>
          <w:szCs w:val="20"/>
        </w:rPr>
        <w:sectPr w:rsidR="005877DE">
          <w:pgSz w:w="12240" w:h="15840"/>
          <w:pgMar w:top="1440" w:right="1440" w:bottom="1440" w:left="1440" w:header="720" w:footer="720" w:gutter="0"/>
          <w:cols w:space="720" w:equalWidth="0">
            <w:col w:w="9360"/>
          </w:cols>
        </w:sectPr>
      </w:pPr>
    </w:p>
    <w:p w14:paraId="6E257606" w14:textId="7A5592A8" w:rsidR="005877DE" w:rsidRDefault="005877DE" w:rsidP="005877DE">
      <w:pPr>
        <w:ind w:right="492"/>
        <w:rPr>
          <w:color w:val="333E48"/>
        </w:rPr>
      </w:pPr>
      <w:r>
        <w:rPr>
          <w:color w:val="333E48"/>
        </w:rPr>
        <w:t>Action on Salt</w:t>
      </w:r>
    </w:p>
    <w:p w14:paraId="4178B7D4" w14:textId="67818057" w:rsidR="005877DE" w:rsidRPr="005877DE" w:rsidRDefault="005877DE" w:rsidP="005877DE">
      <w:pPr>
        <w:ind w:right="492"/>
        <w:rPr>
          <w:color w:val="333E48"/>
        </w:rPr>
      </w:pPr>
      <w:r w:rsidRPr="005877DE">
        <w:rPr>
          <w:color w:val="333E48"/>
        </w:rPr>
        <w:t>Alliance to Save Our Antibiotics</w:t>
      </w:r>
    </w:p>
    <w:p w14:paraId="4F312445" w14:textId="77777777" w:rsidR="005877DE" w:rsidRPr="005877DE" w:rsidRDefault="005877DE" w:rsidP="005877DE">
      <w:pPr>
        <w:ind w:right="492"/>
        <w:rPr>
          <w:color w:val="333E48"/>
        </w:rPr>
      </w:pPr>
      <w:r w:rsidRPr="005877DE">
        <w:rPr>
          <w:color w:val="333E48"/>
        </w:rPr>
        <w:t>Behaviour Change</w:t>
      </w:r>
    </w:p>
    <w:p w14:paraId="351907A0" w14:textId="7908F3E5" w:rsidR="005877DE" w:rsidRPr="005877DE" w:rsidRDefault="005877DE" w:rsidP="005877DE">
      <w:pPr>
        <w:ind w:right="492"/>
        <w:rPr>
          <w:color w:val="333E48"/>
        </w:rPr>
      </w:pPr>
      <w:r w:rsidRPr="005877DE">
        <w:rPr>
          <w:color w:val="333E48"/>
        </w:rPr>
        <w:t>Biodynamic association</w:t>
      </w:r>
    </w:p>
    <w:p w14:paraId="1C466111" w14:textId="77777777" w:rsidR="005877DE" w:rsidRPr="005877DE" w:rsidRDefault="005877DE" w:rsidP="005877DE">
      <w:pPr>
        <w:ind w:right="492"/>
        <w:rPr>
          <w:color w:val="333E48"/>
        </w:rPr>
      </w:pPr>
      <w:r w:rsidRPr="005877DE">
        <w:rPr>
          <w:color w:val="333E48"/>
        </w:rPr>
        <w:t>Changing Markets</w:t>
      </w:r>
    </w:p>
    <w:p w14:paraId="530677C8" w14:textId="77777777" w:rsidR="005877DE" w:rsidRPr="005877DE" w:rsidRDefault="005877DE" w:rsidP="005877DE">
      <w:pPr>
        <w:ind w:right="492"/>
        <w:rPr>
          <w:color w:val="333E48"/>
        </w:rPr>
      </w:pPr>
      <w:r w:rsidRPr="005877DE">
        <w:rPr>
          <w:color w:val="333E48"/>
        </w:rPr>
        <w:t>Community Supported Agriculture</w:t>
      </w:r>
    </w:p>
    <w:p w14:paraId="3A2E0CBF" w14:textId="77777777" w:rsidR="005877DE" w:rsidRPr="005877DE" w:rsidRDefault="005877DE" w:rsidP="005877DE">
      <w:pPr>
        <w:ind w:right="492"/>
        <w:rPr>
          <w:color w:val="333E48"/>
        </w:rPr>
      </w:pPr>
      <w:r w:rsidRPr="005877DE">
        <w:rPr>
          <w:color w:val="333E48"/>
        </w:rPr>
        <w:t>Compassion in World Farming</w:t>
      </w:r>
    </w:p>
    <w:p w14:paraId="13ABD41B" w14:textId="77777777" w:rsidR="005877DE" w:rsidRPr="005877DE" w:rsidRDefault="005877DE" w:rsidP="005877DE">
      <w:pPr>
        <w:ind w:right="492"/>
        <w:rPr>
          <w:color w:val="333E48"/>
        </w:rPr>
      </w:pPr>
      <w:r w:rsidRPr="005877DE">
        <w:rPr>
          <w:color w:val="333E48"/>
        </w:rPr>
        <w:t>European Public Health Alliance</w:t>
      </w:r>
    </w:p>
    <w:p w14:paraId="41F4C5AF" w14:textId="77777777" w:rsidR="005877DE" w:rsidRPr="005877DE" w:rsidRDefault="005877DE" w:rsidP="005877DE">
      <w:pPr>
        <w:ind w:right="492"/>
        <w:rPr>
          <w:color w:val="333E48"/>
        </w:rPr>
      </w:pPr>
      <w:r w:rsidRPr="005877DE">
        <w:rPr>
          <w:color w:val="333E48"/>
        </w:rPr>
        <w:t>Faculty of Public Health</w:t>
      </w:r>
    </w:p>
    <w:p w14:paraId="6650950D" w14:textId="77777777" w:rsidR="005877DE" w:rsidRPr="005877DE" w:rsidRDefault="005877DE" w:rsidP="005877DE">
      <w:pPr>
        <w:ind w:right="492"/>
        <w:rPr>
          <w:color w:val="333E48"/>
        </w:rPr>
      </w:pPr>
      <w:r w:rsidRPr="005877DE">
        <w:rPr>
          <w:color w:val="333E48"/>
        </w:rPr>
        <w:t>Farms Not Factories</w:t>
      </w:r>
    </w:p>
    <w:p w14:paraId="3C7302B1" w14:textId="77777777" w:rsidR="005877DE" w:rsidRPr="005877DE" w:rsidRDefault="005877DE" w:rsidP="005877DE">
      <w:pPr>
        <w:ind w:right="492"/>
        <w:rPr>
          <w:color w:val="333E48"/>
        </w:rPr>
      </w:pPr>
      <w:r w:rsidRPr="005877DE">
        <w:rPr>
          <w:color w:val="333E48"/>
        </w:rPr>
        <w:t>Feedback</w:t>
      </w:r>
    </w:p>
    <w:p w14:paraId="233B1A84" w14:textId="77777777" w:rsidR="005877DE" w:rsidRPr="005877DE" w:rsidRDefault="005877DE" w:rsidP="005877DE">
      <w:pPr>
        <w:ind w:right="492"/>
        <w:rPr>
          <w:color w:val="333E48"/>
        </w:rPr>
      </w:pPr>
      <w:r w:rsidRPr="005877DE">
        <w:rPr>
          <w:color w:val="333E48"/>
        </w:rPr>
        <w:t>First Steps Nutrition Trust</w:t>
      </w:r>
    </w:p>
    <w:p w14:paraId="2D75081B" w14:textId="77777777" w:rsidR="005877DE" w:rsidRPr="005877DE" w:rsidRDefault="005877DE" w:rsidP="005877DE">
      <w:pPr>
        <w:ind w:right="492"/>
        <w:rPr>
          <w:color w:val="333E48"/>
        </w:rPr>
      </w:pPr>
      <w:r w:rsidRPr="005877DE">
        <w:rPr>
          <w:color w:val="333E48"/>
        </w:rPr>
        <w:t>Food Climate Research Network</w:t>
      </w:r>
    </w:p>
    <w:p w14:paraId="7DC4B897" w14:textId="77777777" w:rsidR="005877DE" w:rsidRPr="005877DE" w:rsidRDefault="005877DE" w:rsidP="005877DE">
      <w:pPr>
        <w:ind w:right="492"/>
        <w:rPr>
          <w:color w:val="333E48"/>
        </w:rPr>
      </w:pPr>
      <w:r w:rsidRPr="005877DE">
        <w:rPr>
          <w:color w:val="333E48"/>
        </w:rPr>
        <w:t>Food Ethics Council</w:t>
      </w:r>
    </w:p>
    <w:p w14:paraId="7EEA6F50" w14:textId="77777777" w:rsidR="005877DE" w:rsidRPr="005877DE" w:rsidRDefault="005877DE" w:rsidP="005877DE">
      <w:pPr>
        <w:ind w:right="492"/>
        <w:rPr>
          <w:color w:val="333E48"/>
        </w:rPr>
      </w:pPr>
      <w:r w:rsidRPr="005877DE">
        <w:rPr>
          <w:color w:val="333E48"/>
        </w:rPr>
        <w:t>Food Research Collaboration</w:t>
      </w:r>
    </w:p>
    <w:p w14:paraId="02BD5703" w14:textId="77777777" w:rsidR="005877DE" w:rsidRPr="005877DE" w:rsidRDefault="005877DE" w:rsidP="005877DE">
      <w:pPr>
        <w:ind w:right="492"/>
        <w:rPr>
          <w:color w:val="333E48"/>
        </w:rPr>
      </w:pPr>
      <w:r w:rsidRPr="005877DE">
        <w:rPr>
          <w:color w:val="333E48"/>
        </w:rPr>
        <w:t>FoodCycle</w:t>
      </w:r>
    </w:p>
    <w:p w14:paraId="34BFC6D0" w14:textId="77777777" w:rsidR="005877DE" w:rsidRPr="005877DE" w:rsidRDefault="005877DE" w:rsidP="005877DE">
      <w:pPr>
        <w:ind w:right="492"/>
        <w:rPr>
          <w:color w:val="333E48"/>
        </w:rPr>
      </w:pPr>
      <w:r w:rsidRPr="005877DE">
        <w:rPr>
          <w:color w:val="333E48"/>
        </w:rPr>
        <w:t>Forum for the Future</w:t>
      </w:r>
    </w:p>
    <w:p w14:paraId="3C3AE04C" w14:textId="77777777" w:rsidR="005877DE" w:rsidRPr="005877DE" w:rsidRDefault="005877DE" w:rsidP="005877DE">
      <w:pPr>
        <w:ind w:right="492"/>
        <w:rPr>
          <w:color w:val="333E48"/>
        </w:rPr>
      </w:pPr>
      <w:r w:rsidRPr="005877DE">
        <w:rPr>
          <w:color w:val="333E48"/>
        </w:rPr>
        <w:t>Four Paws</w:t>
      </w:r>
    </w:p>
    <w:p w14:paraId="39BBA012" w14:textId="77777777" w:rsidR="005877DE" w:rsidRPr="005877DE" w:rsidRDefault="005877DE" w:rsidP="005877DE">
      <w:pPr>
        <w:ind w:right="492"/>
        <w:rPr>
          <w:color w:val="333E48"/>
        </w:rPr>
      </w:pPr>
      <w:r w:rsidRPr="005877DE">
        <w:rPr>
          <w:color w:val="333E48"/>
        </w:rPr>
        <w:t>Friends of the Earth</w:t>
      </w:r>
    </w:p>
    <w:p w14:paraId="6DF8B1EC" w14:textId="77777777" w:rsidR="005877DE" w:rsidRPr="005877DE" w:rsidRDefault="005877DE" w:rsidP="005877DE">
      <w:pPr>
        <w:ind w:right="492"/>
        <w:rPr>
          <w:color w:val="333E48"/>
        </w:rPr>
      </w:pPr>
      <w:r w:rsidRPr="005877DE">
        <w:rPr>
          <w:color w:val="333E48"/>
        </w:rPr>
        <w:t>Greenpeace International</w:t>
      </w:r>
    </w:p>
    <w:p w14:paraId="78CE8D56" w14:textId="77777777" w:rsidR="005877DE" w:rsidRPr="005877DE" w:rsidRDefault="005877DE" w:rsidP="005877DE">
      <w:pPr>
        <w:ind w:right="492"/>
        <w:rPr>
          <w:color w:val="333E48"/>
        </w:rPr>
      </w:pPr>
      <w:r w:rsidRPr="005877DE">
        <w:rPr>
          <w:color w:val="333E48"/>
        </w:rPr>
        <w:t>Greenpeace UK</w:t>
      </w:r>
    </w:p>
    <w:p w14:paraId="27111DF2" w14:textId="77777777" w:rsidR="005877DE" w:rsidRPr="005877DE" w:rsidRDefault="005877DE" w:rsidP="005877DE">
      <w:pPr>
        <w:ind w:right="492"/>
        <w:rPr>
          <w:color w:val="333E48"/>
        </w:rPr>
      </w:pPr>
      <w:r w:rsidRPr="005877DE">
        <w:rPr>
          <w:color w:val="333E48"/>
        </w:rPr>
        <w:t>Hubbub</w:t>
      </w:r>
    </w:p>
    <w:p w14:paraId="56B69093" w14:textId="77777777" w:rsidR="005877DE" w:rsidRPr="005877DE" w:rsidRDefault="005877DE" w:rsidP="005877DE">
      <w:pPr>
        <w:ind w:right="492"/>
        <w:rPr>
          <w:color w:val="333E48"/>
        </w:rPr>
      </w:pPr>
      <w:r w:rsidRPr="005877DE">
        <w:rPr>
          <w:color w:val="333E48"/>
        </w:rPr>
        <w:t>Humane Society International UK</w:t>
      </w:r>
    </w:p>
    <w:p w14:paraId="34D53211" w14:textId="77777777" w:rsidR="005877DE" w:rsidRPr="005877DE" w:rsidRDefault="005877DE" w:rsidP="005877DE">
      <w:pPr>
        <w:ind w:right="492"/>
        <w:rPr>
          <w:color w:val="333E48"/>
        </w:rPr>
      </w:pPr>
      <w:r w:rsidRPr="005877DE">
        <w:rPr>
          <w:color w:val="333E48"/>
        </w:rPr>
        <w:t>Keep Britain Tidy</w:t>
      </w:r>
    </w:p>
    <w:p w14:paraId="71EE87C5" w14:textId="77777777" w:rsidR="005877DE" w:rsidRPr="005877DE" w:rsidRDefault="005877DE" w:rsidP="005877DE">
      <w:pPr>
        <w:ind w:right="492"/>
        <w:rPr>
          <w:color w:val="333E48"/>
        </w:rPr>
      </w:pPr>
      <w:r w:rsidRPr="005877DE">
        <w:rPr>
          <w:color w:val="333E48"/>
        </w:rPr>
        <w:t>Landworkers Alliance</w:t>
      </w:r>
    </w:p>
    <w:p w14:paraId="66DB8959" w14:textId="77777777" w:rsidR="005877DE" w:rsidRPr="005877DE" w:rsidRDefault="005877DE" w:rsidP="005877DE">
      <w:pPr>
        <w:ind w:right="492"/>
        <w:rPr>
          <w:color w:val="333E48"/>
        </w:rPr>
      </w:pPr>
      <w:r w:rsidRPr="005877DE">
        <w:rPr>
          <w:color w:val="333E48"/>
        </w:rPr>
        <w:t>LEAF</w:t>
      </w:r>
    </w:p>
    <w:p w14:paraId="0F31140B" w14:textId="77777777" w:rsidR="005877DE" w:rsidRPr="005877DE" w:rsidRDefault="005877DE" w:rsidP="005877DE">
      <w:pPr>
        <w:ind w:right="492"/>
        <w:rPr>
          <w:color w:val="333E48"/>
        </w:rPr>
      </w:pPr>
      <w:r w:rsidRPr="005877DE">
        <w:rPr>
          <w:color w:val="333E48"/>
        </w:rPr>
        <w:t>Meat Free Monday</w:t>
      </w:r>
    </w:p>
    <w:p w14:paraId="68DAB55F" w14:textId="77777777" w:rsidR="005877DE" w:rsidRPr="005877DE" w:rsidRDefault="005877DE" w:rsidP="005877DE">
      <w:pPr>
        <w:ind w:right="492"/>
        <w:rPr>
          <w:color w:val="333E48"/>
        </w:rPr>
      </w:pPr>
      <w:r w:rsidRPr="005877DE">
        <w:rPr>
          <w:color w:val="333E48"/>
        </w:rPr>
        <w:t>Medact</w:t>
      </w:r>
    </w:p>
    <w:p w14:paraId="296CF360" w14:textId="4956A8B0" w:rsidR="005877DE" w:rsidRPr="005877DE" w:rsidRDefault="005877DE" w:rsidP="005877DE">
      <w:pPr>
        <w:ind w:right="492"/>
        <w:rPr>
          <w:color w:val="333E48"/>
        </w:rPr>
      </w:pPr>
      <w:r w:rsidRPr="005877DE">
        <w:rPr>
          <w:color w:val="333E48"/>
        </w:rPr>
        <w:t xml:space="preserve">Nature Friendly Farming </w:t>
      </w:r>
      <w:r>
        <w:rPr>
          <w:color w:val="333E48"/>
        </w:rPr>
        <w:t>N</w:t>
      </w:r>
      <w:r w:rsidRPr="005877DE">
        <w:rPr>
          <w:color w:val="333E48"/>
        </w:rPr>
        <w:t>etwork</w:t>
      </w:r>
    </w:p>
    <w:p w14:paraId="55B5019F" w14:textId="3FA0BA13" w:rsidR="005877DE" w:rsidRDefault="005877DE" w:rsidP="005877DE">
      <w:pPr>
        <w:ind w:right="492"/>
        <w:rPr>
          <w:color w:val="333E48"/>
        </w:rPr>
      </w:pPr>
      <w:r w:rsidRPr="005877DE">
        <w:rPr>
          <w:color w:val="333E48"/>
        </w:rPr>
        <w:t>Network of Wellbeing</w:t>
      </w:r>
    </w:p>
    <w:p w14:paraId="7DC2A581" w14:textId="77777777" w:rsidR="003C4A4A" w:rsidRDefault="003C4A4A" w:rsidP="005877DE">
      <w:pPr>
        <w:ind w:right="492"/>
        <w:rPr>
          <w:color w:val="333E48"/>
        </w:rPr>
      </w:pPr>
    </w:p>
    <w:p w14:paraId="4EA95094" w14:textId="77777777" w:rsidR="003C4A4A" w:rsidRDefault="003C4A4A" w:rsidP="005877DE">
      <w:pPr>
        <w:ind w:right="492"/>
        <w:rPr>
          <w:color w:val="333E48"/>
        </w:rPr>
      </w:pPr>
    </w:p>
    <w:p w14:paraId="1D1E0487" w14:textId="77777777" w:rsidR="003C4A4A" w:rsidRDefault="003C4A4A" w:rsidP="005877DE">
      <w:pPr>
        <w:ind w:right="492"/>
        <w:rPr>
          <w:color w:val="333E48"/>
        </w:rPr>
      </w:pPr>
    </w:p>
    <w:p w14:paraId="5AA2BD7B" w14:textId="77777777" w:rsidR="003C4A4A" w:rsidRDefault="003C4A4A" w:rsidP="005877DE">
      <w:pPr>
        <w:ind w:right="492"/>
        <w:rPr>
          <w:color w:val="333E48"/>
        </w:rPr>
      </w:pPr>
    </w:p>
    <w:p w14:paraId="6BD99AB9" w14:textId="77777777" w:rsidR="003C4A4A" w:rsidRDefault="003C4A4A" w:rsidP="005877DE">
      <w:pPr>
        <w:ind w:right="492"/>
        <w:rPr>
          <w:color w:val="333E48"/>
        </w:rPr>
      </w:pPr>
    </w:p>
    <w:p w14:paraId="39CDC7A9" w14:textId="77777777" w:rsidR="003C4A4A" w:rsidRDefault="003C4A4A" w:rsidP="005877DE">
      <w:pPr>
        <w:ind w:right="492"/>
        <w:rPr>
          <w:color w:val="333E48"/>
        </w:rPr>
      </w:pPr>
    </w:p>
    <w:p w14:paraId="69581064" w14:textId="77777777" w:rsidR="003C4A4A" w:rsidRDefault="003C4A4A" w:rsidP="005877DE">
      <w:pPr>
        <w:ind w:right="492"/>
        <w:rPr>
          <w:color w:val="333E48"/>
        </w:rPr>
      </w:pPr>
    </w:p>
    <w:p w14:paraId="404BC7A5" w14:textId="26717311" w:rsidR="005877DE" w:rsidRDefault="005877DE" w:rsidP="003C4A4A">
      <w:pPr>
        <w:ind w:left="-567" w:right="492"/>
        <w:rPr>
          <w:color w:val="333E48"/>
        </w:rPr>
      </w:pPr>
      <w:r w:rsidRPr="005877DE">
        <w:rPr>
          <w:color w:val="333E48"/>
        </w:rPr>
        <w:t>New Economics Foundation</w:t>
      </w:r>
    </w:p>
    <w:p w14:paraId="3636EC32" w14:textId="75A868D8" w:rsidR="005877DE" w:rsidRPr="005877DE" w:rsidRDefault="005877DE" w:rsidP="003C4A4A">
      <w:pPr>
        <w:ind w:left="-567" w:right="284"/>
        <w:rPr>
          <w:color w:val="333E48"/>
        </w:rPr>
      </w:pPr>
      <w:r w:rsidRPr="005877DE">
        <w:rPr>
          <w:color w:val="333E48"/>
        </w:rPr>
        <w:t>Nourish Scotland</w:t>
      </w:r>
    </w:p>
    <w:p w14:paraId="740FF92D" w14:textId="359727D3" w:rsidR="005877DE" w:rsidRPr="005877DE" w:rsidRDefault="005877DE" w:rsidP="003C4A4A">
      <w:pPr>
        <w:ind w:left="-567" w:right="284"/>
        <w:rPr>
          <w:color w:val="333E48"/>
        </w:rPr>
      </w:pPr>
      <w:r w:rsidRPr="005877DE">
        <w:rPr>
          <w:color w:val="333E48"/>
        </w:rPr>
        <w:t>N</w:t>
      </w:r>
      <w:r>
        <w:rPr>
          <w:color w:val="333E48"/>
        </w:rPr>
        <w:t xml:space="preserve">ational </w:t>
      </w:r>
      <w:r w:rsidRPr="005877DE">
        <w:rPr>
          <w:color w:val="333E48"/>
        </w:rPr>
        <w:t>U</w:t>
      </w:r>
      <w:r>
        <w:rPr>
          <w:color w:val="333E48"/>
        </w:rPr>
        <w:t xml:space="preserve">nion of </w:t>
      </w:r>
      <w:r w:rsidRPr="005877DE">
        <w:rPr>
          <w:color w:val="333E48"/>
        </w:rPr>
        <w:t>S</w:t>
      </w:r>
      <w:r>
        <w:rPr>
          <w:color w:val="333E48"/>
        </w:rPr>
        <w:t>tudents</w:t>
      </w:r>
    </w:p>
    <w:p w14:paraId="23D72A56" w14:textId="7DDD0445" w:rsidR="005877DE" w:rsidRPr="005877DE" w:rsidRDefault="005877DE" w:rsidP="003C4A4A">
      <w:pPr>
        <w:ind w:left="-567" w:right="284"/>
        <w:rPr>
          <w:color w:val="333E48"/>
        </w:rPr>
      </w:pPr>
      <w:r w:rsidRPr="005877DE">
        <w:rPr>
          <w:color w:val="333E48"/>
        </w:rPr>
        <w:t>Oxfam GB</w:t>
      </w:r>
    </w:p>
    <w:p w14:paraId="107FE9CE" w14:textId="77777777" w:rsidR="005877DE" w:rsidRPr="005877DE" w:rsidRDefault="005877DE" w:rsidP="003C4A4A">
      <w:pPr>
        <w:ind w:left="-567" w:right="284"/>
        <w:rPr>
          <w:color w:val="333E48"/>
        </w:rPr>
      </w:pPr>
      <w:r w:rsidRPr="005877DE">
        <w:rPr>
          <w:color w:val="333E48"/>
        </w:rPr>
        <w:t>Part-Time Carnivore</w:t>
      </w:r>
    </w:p>
    <w:p w14:paraId="16393F08" w14:textId="4B912FBA" w:rsidR="005877DE" w:rsidRPr="005877DE" w:rsidRDefault="005877DE" w:rsidP="003C4A4A">
      <w:pPr>
        <w:ind w:left="-567" w:right="284"/>
        <w:rPr>
          <w:color w:val="333E48"/>
        </w:rPr>
      </w:pPr>
      <w:r w:rsidRPr="005877DE">
        <w:rPr>
          <w:color w:val="333E48"/>
        </w:rPr>
        <w:t>Pasture-fed Livestock Association</w:t>
      </w:r>
    </w:p>
    <w:p w14:paraId="2D33DC6A" w14:textId="77777777" w:rsidR="005877DE" w:rsidRPr="005877DE" w:rsidRDefault="005877DE" w:rsidP="003C4A4A">
      <w:pPr>
        <w:ind w:left="-567" w:right="284"/>
        <w:rPr>
          <w:color w:val="333E48"/>
        </w:rPr>
      </w:pPr>
      <w:r w:rsidRPr="005877DE">
        <w:rPr>
          <w:color w:val="333E48"/>
        </w:rPr>
        <w:t>People and Planet</w:t>
      </w:r>
    </w:p>
    <w:p w14:paraId="399BA56D" w14:textId="77777777" w:rsidR="005877DE" w:rsidRPr="005877DE" w:rsidRDefault="005877DE" w:rsidP="003C4A4A">
      <w:pPr>
        <w:ind w:left="-567" w:right="284"/>
        <w:rPr>
          <w:color w:val="333E48"/>
        </w:rPr>
      </w:pPr>
      <w:r w:rsidRPr="005877DE">
        <w:rPr>
          <w:color w:val="333E48"/>
        </w:rPr>
        <w:t>ProVeg</w:t>
      </w:r>
    </w:p>
    <w:p w14:paraId="2326150D" w14:textId="77777777" w:rsidR="005877DE" w:rsidRPr="005877DE" w:rsidRDefault="005877DE" w:rsidP="005877DE">
      <w:pPr>
        <w:ind w:left="-567" w:right="284"/>
        <w:rPr>
          <w:color w:val="333E48"/>
        </w:rPr>
      </w:pPr>
      <w:r w:rsidRPr="005877DE">
        <w:rPr>
          <w:color w:val="333E48"/>
        </w:rPr>
        <w:t>Royal Academy of Culinary Arts</w:t>
      </w:r>
    </w:p>
    <w:p w14:paraId="07024E05" w14:textId="77777777" w:rsidR="005877DE" w:rsidRPr="005877DE" w:rsidRDefault="005877DE" w:rsidP="005877DE">
      <w:pPr>
        <w:ind w:left="-567" w:right="284"/>
        <w:rPr>
          <w:color w:val="333E48"/>
        </w:rPr>
      </w:pPr>
      <w:r w:rsidRPr="005877DE">
        <w:rPr>
          <w:color w:val="333E48"/>
        </w:rPr>
        <w:t>Royal Society for Public Health</w:t>
      </w:r>
    </w:p>
    <w:p w14:paraId="7E77D56D" w14:textId="77777777" w:rsidR="005877DE" w:rsidRPr="005877DE" w:rsidRDefault="005877DE" w:rsidP="005877DE">
      <w:pPr>
        <w:ind w:left="-567" w:right="284"/>
        <w:rPr>
          <w:color w:val="333E48"/>
        </w:rPr>
      </w:pPr>
      <w:r w:rsidRPr="005877DE">
        <w:rPr>
          <w:color w:val="333E48"/>
        </w:rPr>
        <w:t>Royal Society for the Protection of Birds</w:t>
      </w:r>
    </w:p>
    <w:p w14:paraId="5643BEF7" w14:textId="77777777" w:rsidR="005877DE" w:rsidRPr="005877DE" w:rsidRDefault="005877DE" w:rsidP="005877DE">
      <w:pPr>
        <w:ind w:left="-567" w:right="284"/>
        <w:rPr>
          <w:color w:val="333E48"/>
        </w:rPr>
      </w:pPr>
      <w:r w:rsidRPr="005877DE">
        <w:rPr>
          <w:color w:val="333E48"/>
        </w:rPr>
        <w:t>RSPCA</w:t>
      </w:r>
    </w:p>
    <w:p w14:paraId="0001FA0D" w14:textId="0F690929" w:rsidR="005877DE" w:rsidRPr="005877DE" w:rsidRDefault="005877DE" w:rsidP="005877DE">
      <w:pPr>
        <w:ind w:left="-567" w:right="284"/>
        <w:rPr>
          <w:color w:val="333E48"/>
        </w:rPr>
      </w:pPr>
      <w:r w:rsidRPr="005877DE">
        <w:rPr>
          <w:color w:val="333E48"/>
        </w:rPr>
        <w:t>RSPCA Assured</w:t>
      </w:r>
    </w:p>
    <w:p w14:paraId="66E282E9" w14:textId="77777777" w:rsidR="005877DE" w:rsidRPr="005877DE" w:rsidRDefault="005877DE" w:rsidP="005877DE">
      <w:pPr>
        <w:ind w:left="-567" w:right="284"/>
        <w:rPr>
          <w:color w:val="333E48"/>
        </w:rPr>
      </w:pPr>
      <w:r w:rsidRPr="005877DE">
        <w:rPr>
          <w:color w:val="333E48"/>
        </w:rPr>
        <w:t>Send A Cow</w:t>
      </w:r>
    </w:p>
    <w:p w14:paraId="1AC51BB6" w14:textId="2FC98367" w:rsidR="005877DE" w:rsidRPr="005877DE" w:rsidRDefault="005877DE" w:rsidP="005877DE">
      <w:pPr>
        <w:ind w:left="-567" w:right="284"/>
        <w:rPr>
          <w:color w:val="333E48"/>
        </w:rPr>
      </w:pPr>
      <w:r w:rsidRPr="005877DE">
        <w:rPr>
          <w:color w:val="333E48"/>
        </w:rPr>
        <w:t>ShareAction</w:t>
      </w:r>
    </w:p>
    <w:p w14:paraId="16C4C825" w14:textId="77777777" w:rsidR="005877DE" w:rsidRPr="005877DE" w:rsidRDefault="005877DE" w:rsidP="005877DE">
      <w:pPr>
        <w:ind w:left="-567" w:right="284"/>
        <w:rPr>
          <w:color w:val="333E48"/>
        </w:rPr>
      </w:pPr>
      <w:r w:rsidRPr="005877DE">
        <w:rPr>
          <w:color w:val="333E48"/>
        </w:rPr>
        <w:t>Slow Food UK</w:t>
      </w:r>
    </w:p>
    <w:p w14:paraId="163F01AB" w14:textId="51A1AF3C" w:rsidR="005877DE" w:rsidRPr="005877DE" w:rsidRDefault="005877DE" w:rsidP="005877DE">
      <w:pPr>
        <w:ind w:left="-567" w:right="284"/>
        <w:rPr>
          <w:color w:val="333E48"/>
        </w:rPr>
      </w:pPr>
      <w:r>
        <w:rPr>
          <w:color w:val="333E48"/>
        </w:rPr>
        <w:t xml:space="preserve">The </w:t>
      </w:r>
      <w:r w:rsidRPr="005877DE">
        <w:rPr>
          <w:color w:val="333E48"/>
        </w:rPr>
        <w:t>Soil Association</w:t>
      </w:r>
    </w:p>
    <w:p w14:paraId="0A2FC8E1" w14:textId="77777777" w:rsidR="005877DE" w:rsidRPr="005877DE" w:rsidRDefault="005877DE" w:rsidP="005877DE">
      <w:pPr>
        <w:ind w:left="-567" w:right="284"/>
        <w:rPr>
          <w:color w:val="333E48"/>
        </w:rPr>
      </w:pPr>
      <w:r w:rsidRPr="005877DE">
        <w:rPr>
          <w:color w:val="333E48"/>
        </w:rPr>
        <w:t>Sustain</w:t>
      </w:r>
    </w:p>
    <w:p w14:paraId="663A055A" w14:textId="77777777" w:rsidR="005877DE" w:rsidRPr="005877DE" w:rsidRDefault="005877DE" w:rsidP="005877DE">
      <w:pPr>
        <w:ind w:left="-567" w:right="284"/>
        <w:rPr>
          <w:color w:val="333E48"/>
        </w:rPr>
      </w:pPr>
      <w:r w:rsidRPr="005877DE">
        <w:rPr>
          <w:color w:val="333E48"/>
        </w:rPr>
        <w:t>Sustainable Food Cities Network</w:t>
      </w:r>
    </w:p>
    <w:p w14:paraId="5AEC2E94" w14:textId="77777777" w:rsidR="005877DE" w:rsidRPr="005877DE" w:rsidRDefault="005877DE" w:rsidP="005877DE">
      <w:pPr>
        <w:ind w:left="-567" w:right="284"/>
        <w:rPr>
          <w:color w:val="333E48"/>
        </w:rPr>
      </w:pPr>
      <w:r w:rsidRPr="005877DE">
        <w:rPr>
          <w:color w:val="333E48"/>
        </w:rPr>
        <w:t>Sustainable Restaurant Association</w:t>
      </w:r>
    </w:p>
    <w:p w14:paraId="31C3B849" w14:textId="1BE0D780" w:rsidR="005877DE" w:rsidRPr="005877DE" w:rsidRDefault="005877DE" w:rsidP="005877DE">
      <w:pPr>
        <w:ind w:left="-567" w:right="284"/>
        <w:rPr>
          <w:color w:val="333E48"/>
        </w:rPr>
      </w:pPr>
      <w:r w:rsidRPr="005877DE">
        <w:rPr>
          <w:color w:val="333E48"/>
        </w:rPr>
        <w:t>The British Dietetic Association</w:t>
      </w:r>
    </w:p>
    <w:p w14:paraId="3C819E2A" w14:textId="77777777" w:rsidR="005877DE" w:rsidRPr="005877DE" w:rsidRDefault="005877DE" w:rsidP="005877DE">
      <w:pPr>
        <w:ind w:left="-567" w:right="284"/>
        <w:rPr>
          <w:color w:val="333E48"/>
        </w:rPr>
      </w:pPr>
      <w:r w:rsidRPr="005877DE">
        <w:rPr>
          <w:color w:val="333E48"/>
        </w:rPr>
        <w:t>The Food Foundation</w:t>
      </w:r>
    </w:p>
    <w:p w14:paraId="539D7C56" w14:textId="77777777" w:rsidR="005877DE" w:rsidRPr="005877DE" w:rsidRDefault="005877DE" w:rsidP="005877DE">
      <w:pPr>
        <w:ind w:left="-567" w:right="284"/>
        <w:rPr>
          <w:color w:val="333E48"/>
        </w:rPr>
      </w:pPr>
      <w:r w:rsidRPr="005877DE">
        <w:rPr>
          <w:color w:val="333E48"/>
        </w:rPr>
        <w:t>UK Food Group</w:t>
      </w:r>
    </w:p>
    <w:p w14:paraId="5BB7C93B" w14:textId="77777777" w:rsidR="005877DE" w:rsidRPr="005877DE" w:rsidRDefault="005877DE" w:rsidP="005877DE">
      <w:pPr>
        <w:ind w:left="-567" w:right="284"/>
        <w:rPr>
          <w:color w:val="333E48"/>
        </w:rPr>
      </w:pPr>
      <w:r w:rsidRPr="005877DE">
        <w:rPr>
          <w:color w:val="333E48"/>
        </w:rPr>
        <w:t>Vegetarian for Life</w:t>
      </w:r>
    </w:p>
    <w:p w14:paraId="34AFBC0B" w14:textId="77777777" w:rsidR="005877DE" w:rsidRPr="005877DE" w:rsidRDefault="005877DE" w:rsidP="005877DE">
      <w:pPr>
        <w:ind w:left="-567" w:right="284"/>
        <w:rPr>
          <w:color w:val="333E48"/>
        </w:rPr>
      </w:pPr>
      <w:r w:rsidRPr="005877DE">
        <w:rPr>
          <w:color w:val="333E48"/>
        </w:rPr>
        <w:t>Vegetarian Society</w:t>
      </w:r>
    </w:p>
    <w:p w14:paraId="54CDC324" w14:textId="77777777" w:rsidR="005877DE" w:rsidRPr="005877DE" w:rsidRDefault="005877DE" w:rsidP="005877DE">
      <w:pPr>
        <w:ind w:left="-567" w:right="284"/>
        <w:rPr>
          <w:color w:val="333E48"/>
        </w:rPr>
      </w:pPr>
      <w:r w:rsidRPr="005877DE">
        <w:rPr>
          <w:color w:val="333E48"/>
        </w:rPr>
        <w:t>Whole Health Agriculture</w:t>
      </w:r>
    </w:p>
    <w:p w14:paraId="74C4316A" w14:textId="77777777" w:rsidR="005877DE" w:rsidRPr="005877DE" w:rsidRDefault="005877DE" w:rsidP="005877DE">
      <w:pPr>
        <w:ind w:left="-567" w:right="284"/>
        <w:rPr>
          <w:color w:val="333E48"/>
        </w:rPr>
      </w:pPr>
      <w:r w:rsidRPr="005877DE">
        <w:rPr>
          <w:color w:val="333E48"/>
        </w:rPr>
        <w:t>World Animal Protection</w:t>
      </w:r>
    </w:p>
    <w:p w14:paraId="25A89A95" w14:textId="77777777" w:rsidR="005877DE" w:rsidRPr="005877DE" w:rsidRDefault="005877DE" w:rsidP="005877DE">
      <w:pPr>
        <w:ind w:left="-567" w:right="284"/>
        <w:rPr>
          <w:color w:val="333E48"/>
        </w:rPr>
      </w:pPr>
      <w:r w:rsidRPr="005877DE">
        <w:rPr>
          <w:color w:val="333E48"/>
        </w:rPr>
        <w:t>World Resources Institute</w:t>
      </w:r>
    </w:p>
    <w:p w14:paraId="503F0F55" w14:textId="77777777" w:rsidR="005877DE" w:rsidRPr="005877DE" w:rsidRDefault="005877DE" w:rsidP="005877DE">
      <w:pPr>
        <w:ind w:left="-567" w:right="284"/>
        <w:rPr>
          <w:color w:val="333E48"/>
        </w:rPr>
      </w:pPr>
      <w:r w:rsidRPr="005877DE">
        <w:rPr>
          <w:color w:val="333E48"/>
        </w:rPr>
        <w:t>WRAP</w:t>
      </w:r>
    </w:p>
    <w:p w14:paraId="78821701" w14:textId="3FE81E48" w:rsidR="001B7B71" w:rsidRDefault="005877DE" w:rsidP="005877DE">
      <w:pPr>
        <w:ind w:left="-567" w:right="284"/>
        <w:rPr>
          <w:color w:val="333E48"/>
        </w:rPr>
      </w:pPr>
      <w:r w:rsidRPr="005877DE">
        <w:rPr>
          <w:color w:val="333E48"/>
        </w:rPr>
        <w:t>WWF-UK</w:t>
      </w:r>
    </w:p>
    <w:p w14:paraId="46DE95AF" w14:textId="64213922" w:rsidR="005877DE" w:rsidRDefault="005877DE" w:rsidP="005877DE">
      <w:pPr>
        <w:ind w:left="-567" w:right="492"/>
        <w:rPr>
          <w:color w:val="333E48"/>
        </w:rPr>
      </w:pPr>
    </w:p>
    <w:p w14:paraId="6999B008" w14:textId="48030536" w:rsidR="005877DE" w:rsidRDefault="005877DE" w:rsidP="005877DE">
      <w:pPr>
        <w:ind w:left="-567" w:right="492"/>
        <w:rPr>
          <w:color w:val="333E48"/>
        </w:rPr>
      </w:pPr>
    </w:p>
    <w:p w14:paraId="77B1BE41" w14:textId="77777777" w:rsidR="005877DE" w:rsidRPr="005877DE" w:rsidRDefault="005877DE" w:rsidP="005877DE">
      <w:pPr>
        <w:ind w:left="-567" w:right="492"/>
        <w:rPr>
          <w:color w:val="333E48"/>
          <w:highlight w:val="white"/>
        </w:rPr>
      </w:pPr>
    </w:p>
    <w:sectPr w:rsidR="005877DE" w:rsidRPr="005877DE" w:rsidSect="005877DE">
      <w:type w:val="continuous"/>
      <w:pgSz w:w="12240" w:h="15840"/>
      <w:pgMar w:top="1440" w:right="1440" w:bottom="1440" w:left="1440" w:header="720" w:footer="720" w:gutter="0"/>
      <w:cols w:num="2" w:space="1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39CB" w14:textId="77777777" w:rsidR="00E57BDC" w:rsidRDefault="00E57BDC">
      <w:r>
        <w:separator/>
      </w:r>
    </w:p>
  </w:endnote>
  <w:endnote w:type="continuationSeparator" w:id="0">
    <w:p w14:paraId="58440861" w14:textId="77777777" w:rsidR="00E57BDC" w:rsidRDefault="00E5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695306"/>
      <w:docPartObj>
        <w:docPartGallery w:val="Page Numbers (Bottom of Page)"/>
        <w:docPartUnique/>
      </w:docPartObj>
    </w:sdtPr>
    <w:sdtEndPr>
      <w:rPr>
        <w:rStyle w:val="PageNumber"/>
      </w:rPr>
    </w:sdtEndPr>
    <w:sdtContent>
      <w:p w14:paraId="6EA5D248" w14:textId="737B703D" w:rsidR="00F731B6" w:rsidRDefault="00F731B6" w:rsidP="003E2D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655AC" w14:textId="77777777" w:rsidR="00F731B6" w:rsidRDefault="00F731B6" w:rsidP="00F73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811644"/>
      <w:docPartObj>
        <w:docPartGallery w:val="Page Numbers (Bottom of Page)"/>
        <w:docPartUnique/>
      </w:docPartObj>
    </w:sdtPr>
    <w:sdtEndPr>
      <w:rPr>
        <w:rStyle w:val="PageNumber"/>
      </w:rPr>
    </w:sdtEndPr>
    <w:sdtContent>
      <w:p w14:paraId="74C9F50A" w14:textId="351B0DE3" w:rsidR="00F731B6" w:rsidRDefault="00F731B6" w:rsidP="003E2D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14CD62D" w14:textId="77777777" w:rsidR="00F731B6" w:rsidRDefault="00F731B6" w:rsidP="00F731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5677" w14:textId="77777777" w:rsidR="00E57BDC" w:rsidRDefault="00E57BDC">
      <w:r>
        <w:separator/>
      </w:r>
    </w:p>
  </w:footnote>
  <w:footnote w:type="continuationSeparator" w:id="0">
    <w:p w14:paraId="50855E2D" w14:textId="77777777" w:rsidR="00E57BDC" w:rsidRDefault="00E57BDC">
      <w:r>
        <w:continuationSeparator/>
      </w:r>
    </w:p>
  </w:footnote>
  <w:footnote w:id="1">
    <w:p w14:paraId="5DCFBE69" w14:textId="474745D8" w:rsidR="003C4A4A" w:rsidRPr="00F731B6" w:rsidRDefault="003C4A4A">
      <w:pPr>
        <w:pStyle w:val="FootnoteText"/>
        <w:rPr>
          <w:rFonts w:ascii="Arial" w:hAnsi="Arial" w:cs="Arial"/>
          <w:color w:val="auto"/>
          <w:sz w:val="18"/>
          <w:szCs w:val="18"/>
        </w:rPr>
      </w:pPr>
      <w:r w:rsidRPr="00F731B6">
        <w:rPr>
          <w:rStyle w:val="FootnoteReference"/>
          <w:rFonts w:ascii="Arial" w:hAnsi="Arial" w:cs="Arial"/>
          <w:color w:val="auto"/>
          <w:sz w:val="18"/>
          <w:szCs w:val="18"/>
        </w:rPr>
        <w:footnoteRef/>
      </w:r>
      <w:r w:rsidRPr="00F731B6">
        <w:rPr>
          <w:rFonts w:ascii="Arial" w:hAnsi="Arial" w:cs="Arial"/>
          <w:color w:val="auto"/>
          <w:sz w:val="18"/>
          <w:szCs w:val="18"/>
        </w:rPr>
        <w:t xml:space="preserve"> The full list of Eating Better organisations can be found at the bottom of this response. </w:t>
      </w:r>
    </w:p>
    <w:p w14:paraId="144F57D9" w14:textId="77777777" w:rsidR="003C4A4A" w:rsidRPr="00F731B6" w:rsidRDefault="003C4A4A">
      <w:pPr>
        <w:pStyle w:val="FootnoteText"/>
        <w:rPr>
          <w:rFonts w:ascii="Arial" w:hAnsi="Arial" w:cs="Arial"/>
          <w:sz w:val="18"/>
          <w:szCs w:val="18"/>
        </w:rPr>
      </w:pPr>
    </w:p>
  </w:footnote>
  <w:footnote w:id="2">
    <w:p w14:paraId="4D364A3D" w14:textId="47619A87" w:rsidR="001B7B71" w:rsidRPr="00F731B6" w:rsidRDefault="00026242">
      <w:pPr>
        <w:rPr>
          <w:rFonts w:ascii="Arial" w:eastAsia="Arial" w:hAnsi="Arial" w:cs="Arial"/>
          <w:color w:val="0070C0"/>
          <w:sz w:val="18"/>
          <w:szCs w:val="18"/>
        </w:rPr>
      </w:pPr>
      <w:r w:rsidRPr="00F731B6">
        <w:rPr>
          <w:rFonts w:ascii="Arial" w:hAnsi="Arial" w:cs="Arial"/>
          <w:sz w:val="18"/>
          <w:szCs w:val="18"/>
          <w:vertAlign w:val="superscript"/>
        </w:rPr>
        <w:footnoteRef/>
      </w:r>
      <w:r w:rsidRPr="00F731B6">
        <w:rPr>
          <w:rFonts w:ascii="Arial" w:eastAsia="Arial" w:hAnsi="Arial" w:cs="Arial"/>
          <w:color w:val="000000"/>
          <w:sz w:val="18"/>
          <w:szCs w:val="18"/>
        </w:rPr>
        <w:t xml:space="preserve"> Westhoek, H. et al. (2014). </w:t>
      </w:r>
      <w:r w:rsidRPr="00F731B6">
        <w:rPr>
          <w:rFonts w:ascii="Arial" w:eastAsia="Arial" w:hAnsi="Arial" w:cs="Arial"/>
          <w:i/>
          <w:color w:val="000000"/>
          <w:sz w:val="18"/>
          <w:szCs w:val="18"/>
        </w:rPr>
        <w:t>Food choices, health and environment.</w:t>
      </w:r>
      <w:r w:rsidRPr="00F731B6">
        <w:rPr>
          <w:rFonts w:ascii="Arial" w:eastAsia="Arial" w:hAnsi="Arial" w:cs="Arial"/>
          <w:color w:val="000000"/>
          <w:sz w:val="18"/>
          <w:szCs w:val="18"/>
        </w:rPr>
        <w:t xml:space="preserve"> Global Environmental Change 26</w:t>
      </w:r>
      <w:r w:rsidRPr="00F731B6">
        <w:rPr>
          <w:rFonts w:ascii="Arial" w:eastAsia="Arial" w:hAnsi="Arial" w:cs="Arial"/>
          <w:color w:val="2E2E2E"/>
          <w:sz w:val="18"/>
          <w:szCs w:val="18"/>
        </w:rPr>
        <w:t xml:space="preserve"> (pages 196-205)</w:t>
      </w:r>
      <w:r w:rsidR="00C861C6" w:rsidRPr="00F731B6">
        <w:rPr>
          <w:rFonts w:ascii="Arial" w:eastAsia="Arial" w:hAnsi="Arial" w:cs="Arial"/>
          <w:color w:val="2E2E2E"/>
          <w:sz w:val="18"/>
          <w:szCs w:val="18"/>
        </w:rPr>
        <w:t xml:space="preserve"> Online: </w:t>
      </w:r>
      <w:hyperlink r:id="rId1" w:history="1">
        <w:r w:rsidR="00C861C6" w:rsidRPr="00F731B6">
          <w:rPr>
            <w:rStyle w:val="Hyperlink"/>
            <w:rFonts w:ascii="Arial" w:eastAsia="Arial" w:hAnsi="Arial" w:cs="Arial"/>
            <w:color w:val="0070C0"/>
            <w:sz w:val="18"/>
            <w:szCs w:val="18"/>
            <w:u w:val="none"/>
          </w:rPr>
          <w:t>https://doi.org/10.1016/j.gloenvcha.2014.02.004</w:t>
        </w:r>
      </w:hyperlink>
    </w:p>
    <w:p w14:paraId="7E8173E0" w14:textId="77777777" w:rsidR="003C4A4A" w:rsidRPr="00F731B6" w:rsidRDefault="003C4A4A">
      <w:pPr>
        <w:rPr>
          <w:rFonts w:ascii="Arial" w:hAnsi="Arial" w:cs="Arial"/>
          <w:sz w:val="18"/>
          <w:szCs w:val="18"/>
        </w:rPr>
      </w:pPr>
    </w:p>
  </w:footnote>
  <w:footnote w:id="3">
    <w:p w14:paraId="36CADB0E" w14:textId="23422AEC" w:rsidR="001B7B71" w:rsidRPr="00F731B6" w:rsidRDefault="00026242">
      <w:pPr>
        <w:rPr>
          <w:rFonts w:ascii="Arial" w:eastAsia="Arial" w:hAnsi="Arial" w:cs="Arial"/>
          <w:color w:val="0000FF"/>
          <w:sz w:val="18"/>
          <w:szCs w:val="18"/>
          <w:highlight w:val="white"/>
          <w:u w:val="single"/>
        </w:rPr>
      </w:pPr>
      <w:r w:rsidRPr="00F731B6">
        <w:rPr>
          <w:rFonts w:ascii="Arial" w:hAnsi="Arial" w:cs="Arial"/>
          <w:sz w:val="18"/>
          <w:szCs w:val="18"/>
          <w:vertAlign w:val="superscript"/>
        </w:rPr>
        <w:footnoteRef/>
      </w:r>
      <w:r w:rsidRPr="00F731B6">
        <w:rPr>
          <w:rFonts w:ascii="Arial" w:eastAsia="Arial" w:hAnsi="Arial" w:cs="Arial"/>
          <w:color w:val="000000"/>
          <w:sz w:val="18"/>
          <w:szCs w:val="18"/>
        </w:rPr>
        <w:t xml:space="preserve"> Sutton, M.A. et al. (2013). </w:t>
      </w:r>
      <w:r w:rsidRPr="00F731B6">
        <w:rPr>
          <w:rFonts w:ascii="Arial" w:eastAsia="Arial" w:hAnsi="Arial" w:cs="Arial"/>
          <w:i/>
          <w:color w:val="000000"/>
          <w:sz w:val="18"/>
          <w:szCs w:val="18"/>
        </w:rPr>
        <w:t xml:space="preserve">Our Nutrient World: the challenge to produce more food and energy with less pollution. </w:t>
      </w:r>
      <w:r w:rsidRPr="00F731B6">
        <w:rPr>
          <w:rFonts w:ascii="Arial" w:eastAsia="Arial" w:hAnsi="Arial" w:cs="Arial"/>
          <w:color w:val="000000"/>
          <w:sz w:val="18"/>
          <w:szCs w:val="18"/>
          <w:highlight w:val="white"/>
        </w:rPr>
        <w:t xml:space="preserve">Edinburgh, NERC/Centre for Ecology &amp; Hydrology. </w:t>
      </w:r>
      <w:r w:rsidR="00C861C6" w:rsidRPr="00F731B6">
        <w:rPr>
          <w:rFonts w:ascii="Arial" w:eastAsia="Arial" w:hAnsi="Arial" w:cs="Arial"/>
          <w:color w:val="000000"/>
          <w:sz w:val="18"/>
          <w:szCs w:val="18"/>
        </w:rPr>
        <w:t xml:space="preserve">Online: </w:t>
      </w:r>
      <w:hyperlink r:id="rId2" w:history="1">
        <w:r w:rsidR="00C861C6" w:rsidRPr="00F731B6">
          <w:rPr>
            <w:rStyle w:val="Hyperlink"/>
            <w:rFonts w:ascii="Arial" w:eastAsia="Arial" w:hAnsi="Arial" w:cs="Arial"/>
            <w:color w:val="0070C0"/>
            <w:sz w:val="18"/>
            <w:szCs w:val="18"/>
            <w:highlight w:val="white"/>
            <w:u w:val="none"/>
          </w:rPr>
          <w:t>http://nora.nerc.ac.uk/id/eprint/500700/</w:t>
        </w:r>
      </w:hyperlink>
    </w:p>
    <w:p w14:paraId="1F81ADB1" w14:textId="77777777" w:rsidR="003C4A4A" w:rsidRPr="00F731B6" w:rsidRDefault="003C4A4A">
      <w:pPr>
        <w:rPr>
          <w:rFonts w:ascii="Arial" w:eastAsia="Arial" w:hAnsi="Arial" w:cs="Arial"/>
          <w:color w:val="000000"/>
          <w:sz w:val="18"/>
          <w:szCs w:val="18"/>
          <w:highlight w:val="white"/>
        </w:rPr>
      </w:pPr>
    </w:p>
  </w:footnote>
  <w:footnote w:id="4">
    <w:p w14:paraId="1F427A36" w14:textId="4513EBF1" w:rsidR="001B7B71" w:rsidRPr="00F731B6" w:rsidRDefault="00026242">
      <w:pPr>
        <w:rPr>
          <w:rFonts w:ascii="Arial" w:eastAsia="Arial" w:hAnsi="Arial" w:cs="Arial"/>
          <w:color w:val="0000FF"/>
          <w:sz w:val="18"/>
          <w:szCs w:val="18"/>
          <w:u w:val="single"/>
        </w:rPr>
      </w:pPr>
      <w:r w:rsidRPr="00F731B6">
        <w:rPr>
          <w:rFonts w:ascii="Arial" w:hAnsi="Arial" w:cs="Arial"/>
          <w:sz w:val="18"/>
          <w:szCs w:val="18"/>
          <w:vertAlign w:val="superscript"/>
        </w:rPr>
        <w:footnoteRef/>
      </w:r>
      <w:r w:rsidRPr="00F731B6">
        <w:rPr>
          <w:rFonts w:ascii="Arial" w:eastAsia="Arial" w:hAnsi="Arial" w:cs="Arial"/>
          <w:color w:val="000000"/>
          <w:sz w:val="18"/>
          <w:szCs w:val="18"/>
        </w:rPr>
        <w:t xml:space="preserve"> Springmann, M. et al. (2018). </w:t>
      </w:r>
      <w:r w:rsidRPr="00F731B6">
        <w:rPr>
          <w:rFonts w:ascii="Arial" w:eastAsia="Arial" w:hAnsi="Arial" w:cs="Arial"/>
          <w:i/>
          <w:color w:val="000000"/>
          <w:sz w:val="18"/>
          <w:szCs w:val="18"/>
        </w:rPr>
        <w:t>Options for keeping the food system within environmental limits.</w:t>
      </w:r>
      <w:r w:rsidRPr="00F731B6">
        <w:rPr>
          <w:rFonts w:ascii="Arial" w:eastAsia="Arial" w:hAnsi="Arial" w:cs="Arial"/>
          <w:color w:val="000000"/>
          <w:sz w:val="18"/>
          <w:szCs w:val="18"/>
        </w:rPr>
        <w:t xml:space="preserve"> Nature</w:t>
      </w:r>
      <w:r w:rsidRPr="00F731B6">
        <w:rPr>
          <w:rFonts w:ascii="Arial" w:eastAsia="Arial" w:hAnsi="Arial" w:cs="Arial"/>
          <w:b/>
          <w:color w:val="000000"/>
          <w:sz w:val="18"/>
          <w:szCs w:val="18"/>
        </w:rPr>
        <w:t xml:space="preserve"> </w:t>
      </w:r>
      <w:r w:rsidRPr="00F731B6">
        <w:rPr>
          <w:rFonts w:ascii="Arial" w:eastAsia="Arial" w:hAnsi="Arial" w:cs="Arial"/>
          <w:color w:val="000000"/>
          <w:sz w:val="18"/>
          <w:szCs w:val="18"/>
        </w:rPr>
        <w:t xml:space="preserve">562 (pages 519–525) </w:t>
      </w:r>
      <w:r w:rsidR="00C861C6" w:rsidRPr="00F731B6">
        <w:rPr>
          <w:rFonts w:ascii="Arial" w:eastAsia="Arial" w:hAnsi="Arial" w:cs="Arial"/>
          <w:color w:val="000000"/>
          <w:sz w:val="18"/>
          <w:szCs w:val="18"/>
        </w:rPr>
        <w:t xml:space="preserve">Online: </w:t>
      </w:r>
      <w:hyperlink r:id="rId3" w:history="1">
        <w:r w:rsidR="00C861C6" w:rsidRPr="00F731B6">
          <w:rPr>
            <w:rStyle w:val="Hyperlink"/>
            <w:rFonts w:ascii="Arial" w:eastAsia="Arial" w:hAnsi="Arial" w:cs="Arial"/>
            <w:color w:val="0070C0"/>
            <w:sz w:val="18"/>
            <w:szCs w:val="18"/>
            <w:u w:val="none"/>
          </w:rPr>
          <w:t>https://www.nature.com/articles/s41586-018-0594-0</w:t>
        </w:r>
      </w:hyperlink>
    </w:p>
    <w:p w14:paraId="5AD126C7" w14:textId="77777777" w:rsidR="003C4A4A" w:rsidRPr="00F731B6" w:rsidRDefault="003C4A4A">
      <w:pPr>
        <w:rPr>
          <w:rFonts w:ascii="Arial" w:eastAsia="Arial" w:hAnsi="Arial" w:cs="Arial"/>
          <w:color w:val="000000"/>
          <w:sz w:val="18"/>
          <w:szCs w:val="18"/>
        </w:rPr>
      </w:pPr>
    </w:p>
  </w:footnote>
  <w:footnote w:id="5">
    <w:p w14:paraId="54572017" w14:textId="77777777" w:rsidR="001B7B71" w:rsidRDefault="00026242">
      <w:pPr>
        <w:rPr>
          <w:rFonts w:ascii="Arial" w:eastAsia="Arial" w:hAnsi="Arial" w:cs="Arial"/>
          <w:color w:val="000000"/>
          <w:sz w:val="22"/>
          <w:szCs w:val="22"/>
        </w:rPr>
      </w:pPr>
      <w:r w:rsidRPr="00F731B6">
        <w:rPr>
          <w:rFonts w:ascii="Arial" w:hAnsi="Arial" w:cs="Arial"/>
          <w:sz w:val="18"/>
          <w:szCs w:val="18"/>
          <w:vertAlign w:val="superscript"/>
        </w:rPr>
        <w:footnoteRef/>
      </w:r>
      <w:r w:rsidRPr="00F731B6">
        <w:rPr>
          <w:rFonts w:ascii="Arial" w:eastAsia="Arial" w:hAnsi="Arial" w:cs="Arial"/>
          <w:color w:val="000000"/>
          <w:sz w:val="18"/>
          <w:szCs w:val="18"/>
        </w:rPr>
        <w:t xml:space="preserve"> Westhoek, H. et al. (2014). </w:t>
      </w:r>
      <w:r w:rsidRPr="00F731B6">
        <w:rPr>
          <w:rFonts w:ascii="Arial" w:eastAsia="Arial" w:hAnsi="Arial" w:cs="Arial"/>
          <w:i/>
          <w:iCs/>
          <w:color w:val="000000"/>
          <w:sz w:val="18"/>
          <w:szCs w:val="18"/>
        </w:rPr>
        <w:t>Food choices, health and environment.</w:t>
      </w:r>
      <w:r w:rsidRPr="00F731B6">
        <w:rPr>
          <w:rFonts w:ascii="Arial" w:eastAsia="Arial" w:hAnsi="Arial" w:cs="Arial"/>
          <w:color w:val="000000"/>
          <w:sz w:val="18"/>
          <w:szCs w:val="18"/>
        </w:rPr>
        <w:t xml:space="preserve"> Global Environmental Change 26</w:t>
      </w:r>
      <w:r w:rsidRPr="00F731B6">
        <w:rPr>
          <w:rFonts w:ascii="Arial" w:eastAsia="Arial" w:hAnsi="Arial" w:cs="Arial"/>
          <w:color w:val="2E2E2E"/>
          <w:sz w:val="18"/>
          <w:szCs w:val="18"/>
        </w:rPr>
        <w:t xml:space="preserve"> (pages 196-205)</w:t>
      </w:r>
      <w:r w:rsidRPr="00F731B6">
        <w:rPr>
          <w:rFonts w:ascii="Arial" w:hAnsi="Arial" w:cs="Arial"/>
          <w:color w:val="0070C0"/>
          <w:sz w:val="18"/>
          <w:szCs w:val="18"/>
        </w:rPr>
        <w:t xml:space="preserve"> </w:t>
      </w:r>
      <w:hyperlink r:id="rId4">
        <w:r w:rsidRPr="00F731B6">
          <w:rPr>
            <w:rFonts w:ascii="Arial" w:eastAsia="Arial" w:hAnsi="Arial" w:cs="Arial"/>
            <w:color w:val="0070C0"/>
            <w:sz w:val="18"/>
            <w:szCs w:val="18"/>
          </w:rPr>
          <w:t>https://doi.org/10.1016/j.gloenvcha.2014.02.004</w:t>
        </w:r>
      </w:hyperlink>
    </w:p>
  </w:footnote>
  <w:footnote w:id="6">
    <w:p w14:paraId="73D06945" w14:textId="24C98AFE" w:rsidR="003C4A4A" w:rsidRPr="00F731B6" w:rsidRDefault="003C4A4A">
      <w:pPr>
        <w:pStyle w:val="FootnoteText"/>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(2018) </w:t>
      </w:r>
      <w:r w:rsidRPr="00F731B6">
        <w:rPr>
          <w:rFonts w:ascii="Arial" w:hAnsi="Arial" w:cs="Arial"/>
          <w:i/>
          <w:iCs/>
          <w:sz w:val="18"/>
          <w:szCs w:val="18"/>
        </w:rPr>
        <w:t>Principles for Eating meat and dairy more sustainably.</w:t>
      </w:r>
      <w:r w:rsidRPr="00F731B6">
        <w:rPr>
          <w:rFonts w:ascii="Arial" w:hAnsi="Arial" w:cs="Arial"/>
          <w:sz w:val="18"/>
          <w:szCs w:val="18"/>
        </w:rPr>
        <w:t xml:space="preserve"> Online: </w:t>
      </w:r>
      <w:hyperlink r:id="rId5" w:history="1">
        <w:r w:rsidRPr="00F731B6">
          <w:rPr>
            <w:rStyle w:val="Hyperlink"/>
            <w:rFonts w:ascii="Arial" w:hAnsi="Arial" w:cs="Arial"/>
            <w:color w:val="0070C0"/>
            <w:sz w:val="18"/>
            <w:szCs w:val="18"/>
            <w:u w:val="none"/>
          </w:rPr>
          <w:t>https://www.eating-better.org/uploads/Documents/2018/better_meat_report_FINAL.pdf</w:t>
        </w:r>
      </w:hyperlink>
    </w:p>
    <w:p w14:paraId="62E5FEEC" w14:textId="77777777" w:rsidR="003C4A4A" w:rsidRPr="00F731B6" w:rsidRDefault="003C4A4A">
      <w:pPr>
        <w:pStyle w:val="FootnoteText"/>
        <w:rPr>
          <w:rFonts w:ascii="Arial" w:hAnsi="Arial" w:cs="Arial"/>
          <w:sz w:val="18"/>
          <w:szCs w:val="18"/>
        </w:rPr>
      </w:pPr>
    </w:p>
  </w:footnote>
  <w:footnote w:id="7">
    <w:p w14:paraId="4E64FE51" w14:textId="330AB800" w:rsidR="003C4A4A" w:rsidRPr="00F731B6" w:rsidRDefault="003C4A4A" w:rsidP="003C4A4A">
      <w:pPr>
        <w:pStyle w:val="FootnoteText"/>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(2019) </w:t>
      </w:r>
      <w:r w:rsidRPr="00F731B6">
        <w:rPr>
          <w:rFonts w:ascii="Arial" w:hAnsi="Arial" w:cs="Arial"/>
          <w:i/>
          <w:iCs/>
          <w:sz w:val="18"/>
          <w:szCs w:val="18"/>
        </w:rPr>
        <w:t>YouGov Survey Quick Analysis.</w:t>
      </w:r>
      <w:r w:rsidRPr="00F731B6">
        <w:rPr>
          <w:rFonts w:ascii="Arial" w:hAnsi="Arial" w:cs="Arial"/>
          <w:sz w:val="18"/>
          <w:szCs w:val="18"/>
        </w:rPr>
        <w:t xml:space="preserve"> Online: </w:t>
      </w:r>
      <w:hyperlink r:id="rId6" w:history="1">
        <w:r w:rsidRPr="00F731B6">
          <w:rPr>
            <w:rStyle w:val="Hyperlink"/>
            <w:rFonts w:ascii="Arial" w:hAnsi="Arial" w:cs="Arial"/>
            <w:color w:val="0070C0"/>
            <w:sz w:val="18"/>
            <w:szCs w:val="18"/>
            <w:u w:val="none"/>
          </w:rPr>
          <w:t>https://www.eating-better.org/uploads/Documents/2019/YouGov%20survey%20analysis%20PDF%20for%20web.pdf</w:t>
        </w:r>
      </w:hyperlink>
    </w:p>
    <w:p w14:paraId="3D41A421" w14:textId="77777777" w:rsidR="003C4A4A" w:rsidRPr="00F731B6" w:rsidRDefault="003C4A4A" w:rsidP="003C4A4A">
      <w:pPr>
        <w:pStyle w:val="FootnoteText"/>
        <w:rPr>
          <w:rFonts w:ascii="Arial" w:hAnsi="Arial" w:cs="Arial"/>
          <w:sz w:val="18"/>
          <w:szCs w:val="18"/>
        </w:rPr>
      </w:pPr>
    </w:p>
  </w:footnote>
  <w:footnote w:id="8">
    <w:p w14:paraId="4408B06A" w14:textId="69F08086" w:rsidR="003C4A4A" w:rsidRPr="00F731B6" w:rsidRDefault="003C4A4A" w:rsidP="00F731B6">
      <w:pPr>
        <w:pStyle w:val="FootnoteText"/>
        <w:rPr>
          <w:rFonts w:ascii="Arial" w:hAnsi="Arial" w:cs="Arial"/>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(2019) </w:t>
      </w:r>
      <w:r w:rsidRPr="00F731B6">
        <w:rPr>
          <w:rFonts w:ascii="Arial" w:hAnsi="Arial" w:cs="Arial"/>
          <w:i/>
          <w:iCs/>
          <w:sz w:val="18"/>
          <w:szCs w:val="18"/>
        </w:rPr>
        <w:t>Better by Half: A roadmap to less and better meat and dairy</w:t>
      </w:r>
      <w:r w:rsidRPr="00F731B6">
        <w:rPr>
          <w:rFonts w:ascii="Arial" w:hAnsi="Arial" w:cs="Arial"/>
          <w:sz w:val="18"/>
          <w:szCs w:val="18"/>
        </w:rPr>
        <w:t xml:space="preserve">. Online resource: </w:t>
      </w:r>
      <w:hyperlink r:id="rId7" w:history="1">
        <w:r w:rsidRPr="00F731B6">
          <w:rPr>
            <w:rStyle w:val="Hyperlink"/>
            <w:rFonts w:ascii="Arial" w:hAnsi="Arial" w:cs="Arial"/>
            <w:color w:val="0070C0"/>
            <w:sz w:val="18"/>
            <w:szCs w:val="18"/>
            <w:u w:val="none"/>
          </w:rPr>
          <w:t>https://www.eating-better.org/betterbyhalf</w:t>
        </w:r>
      </w:hyperlink>
    </w:p>
  </w:footnote>
  <w:footnote w:id="9">
    <w:p w14:paraId="00F412D4" w14:textId="77777777" w:rsidR="00A725BD" w:rsidRDefault="00A725BD" w:rsidP="003C4A4A">
      <w:pPr>
        <w:pStyle w:val="FootnoteText"/>
      </w:pPr>
    </w:p>
    <w:p w14:paraId="422BE391" w14:textId="7237FF09" w:rsidR="003C4A4A" w:rsidRPr="00F731B6" w:rsidRDefault="003C4A4A" w:rsidP="003C4A4A">
      <w:pPr>
        <w:pStyle w:val="FootnoteText"/>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(2019) Normalise sustainable diets through public procurement: leadership in action, in </w:t>
      </w:r>
      <w:r w:rsidRPr="00F731B6">
        <w:rPr>
          <w:rFonts w:ascii="Arial" w:hAnsi="Arial" w:cs="Arial"/>
          <w:i/>
          <w:iCs/>
          <w:sz w:val="18"/>
          <w:szCs w:val="18"/>
        </w:rPr>
        <w:t xml:space="preserve">Better by Half: A roadmap to less and better meat and dairy. </w:t>
      </w:r>
      <w:r w:rsidRPr="00F731B6">
        <w:rPr>
          <w:rFonts w:ascii="Arial" w:hAnsi="Arial" w:cs="Arial"/>
          <w:sz w:val="18"/>
          <w:szCs w:val="18"/>
        </w:rPr>
        <w:t xml:space="preserve">Online: </w:t>
      </w:r>
      <w:hyperlink r:id="rId8" w:anchor="2-2" w:history="1">
        <w:r w:rsidRPr="00F731B6">
          <w:rPr>
            <w:rStyle w:val="Hyperlink"/>
            <w:rFonts w:ascii="Arial" w:hAnsi="Arial" w:cs="Arial"/>
            <w:color w:val="0070C0"/>
            <w:sz w:val="18"/>
            <w:szCs w:val="18"/>
            <w:u w:val="none"/>
          </w:rPr>
          <w:t>https://www.eating-better.org/betterbyhalf#2-2</w:t>
        </w:r>
      </w:hyperlink>
    </w:p>
    <w:p w14:paraId="7A1C43DA" w14:textId="132B0A43" w:rsidR="003C4A4A" w:rsidRPr="00F731B6" w:rsidRDefault="003C4A4A">
      <w:pPr>
        <w:pStyle w:val="FootnoteText"/>
        <w:rPr>
          <w:rFonts w:ascii="Arial" w:hAnsi="Arial" w:cs="Arial"/>
          <w:sz w:val="18"/>
          <w:szCs w:val="18"/>
        </w:rPr>
      </w:pPr>
    </w:p>
  </w:footnote>
  <w:footnote w:id="10">
    <w:p w14:paraId="5CE82B8A" w14:textId="2E23880E" w:rsidR="003C4A4A" w:rsidRPr="00F731B6" w:rsidRDefault="003C4A4A">
      <w:pPr>
        <w:pStyle w:val="FootnoteText"/>
        <w:rPr>
          <w:rFonts w:ascii="Arial" w:hAnsi="Arial" w:cs="Arial"/>
          <w:sz w:val="18"/>
          <w:szCs w:val="18"/>
        </w:rPr>
      </w:pPr>
      <w:r w:rsidRPr="00F731B6">
        <w:rPr>
          <w:rStyle w:val="FootnoteReference"/>
          <w:rFonts w:ascii="Arial" w:hAnsi="Arial" w:cs="Arial"/>
          <w:color w:val="auto"/>
          <w:sz w:val="18"/>
          <w:szCs w:val="18"/>
        </w:rPr>
        <w:footnoteRef/>
      </w:r>
      <w:r w:rsidRPr="00F731B6">
        <w:rPr>
          <w:rFonts w:ascii="Arial" w:hAnsi="Arial" w:cs="Arial"/>
          <w:color w:val="auto"/>
          <w:sz w:val="18"/>
          <w:szCs w:val="18"/>
        </w:rPr>
        <w:t xml:space="preserve"> Eating Better (2018) </w:t>
      </w:r>
      <w:r w:rsidRPr="00F731B6">
        <w:rPr>
          <w:rFonts w:ascii="Arial" w:hAnsi="Arial" w:cs="Arial"/>
          <w:i/>
          <w:iCs/>
          <w:color w:val="auto"/>
          <w:sz w:val="18"/>
          <w:szCs w:val="18"/>
        </w:rPr>
        <w:t>Principles for eating meat and dairy more sustainably.</w:t>
      </w:r>
      <w:r w:rsidRPr="00F731B6">
        <w:rPr>
          <w:rFonts w:ascii="Arial" w:hAnsi="Arial" w:cs="Arial"/>
          <w:color w:val="auto"/>
          <w:sz w:val="18"/>
          <w:szCs w:val="18"/>
        </w:rPr>
        <w:t xml:space="preserve"> Online: </w:t>
      </w:r>
      <w:hyperlink r:id="rId9" w:history="1">
        <w:r w:rsidRPr="00F731B6">
          <w:rPr>
            <w:rStyle w:val="Hyperlink"/>
            <w:rFonts w:ascii="Arial" w:hAnsi="Arial" w:cs="Arial"/>
            <w:color w:val="0070C0"/>
            <w:sz w:val="18"/>
            <w:szCs w:val="18"/>
            <w:u w:val="none"/>
          </w:rPr>
          <w:t>https://www.eating-better.org/uploads/Documents/2018/better_meat_report_FINAL.pdf</w:t>
        </w:r>
      </w:hyperlink>
    </w:p>
    <w:p w14:paraId="24275A1A" w14:textId="77777777" w:rsidR="003C4A4A" w:rsidRPr="003C4A4A" w:rsidRDefault="003C4A4A">
      <w:pPr>
        <w:pStyle w:val="FootnoteText"/>
        <w:rPr>
          <w:rFonts w:ascii="Arial" w:hAnsi="Arial" w:cs="Arial"/>
        </w:rPr>
      </w:pPr>
    </w:p>
  </w:footnote>
  <w:footnote w:id="11">
    <w:p w14:paraId="6006A726" w14:textId="14B86932" w:rsidR="003C4A4A" w:rsidRPr="00F731B6" w:rsidRDefault="003C4A4A" w:rsidP="003C4A4A">
      <w:pPr>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(2019) Label origin and method of production for all meat and dairy: Leadership in Action, in </w:t>
      </w:r>
      <w:r w:rsidRPr="00F731B6">
        <w:rPr>
          <w:rFonts w:ascii="Arial" w:hAnsi="Arial" w:cs="Arial"/>
          <w:i/>
          <w:iCs/>
          <w:sz w:val="18"/>
          <w:szCs w:val="18"/>
        </w:rPr>
        <w:t xml:space="preserve">Better by Half: A roadmap to less and better meat and dairy. </w:t>
      </w:r>
      <w:r w:rsidRPr="00F731B6">
        <w:rPr>
          <w:rFonts w:ascii="Arial" w:hAnsi="Arial" w:cs="Arial"/>
          <w:sz w:val="18"/>
          <w:szCs w:val="18"/>
        </w:rPr>
        <w:t xml:space="preserve">Online: </w:t>
      </w:r>
      <w:hyperlink r:id="rId10" w:anchor="0-1" w:history="1">
        <w:r w:rsidRPr="00F731B6">
          <w:rPr>
            <w:rFonts w:ascii="Arial" w:hAnsi="Arial" w:cs="Arial"/>
            <w:color w:val="0070C0"/>
            <w:sz w:val="18"/>
            <w:szCs w:val="18"/>
          </w:rPr>
          <w:t>https://www.eating-better.org/betterbyhalf#0-1</w:t>
        </w:r>
      </w:hyperlink>
    </w:p>
    <w:p w14:paraId="01A85D2A" w14:textId="77777777" w:rsidR="003C4A4A" w:rsidRPr="00F731B6" w:rsidRDefault="003C4A4A" w:rsidP="003C4A4A">
      <w:pPr>
        <w:rPr>
          <w:rFonts w:ascii="Arial" w:hAnsi="Arial" w:cs="Arial"/>
          <w:sz w:val="18"/>
          <w:szCs w:val="18"/>
        </w:rPr>
      </w:pPr>
    </w:p>
  </w:footnote>
  <w:footnote w:id="12">
    <w:p w14:paraId="34E81768" w14:textId="43CC39E7" w:rsidR="003C4A4A" w:rsidRPr="00F731B6" w:rsidRDefault="003C4A4A" w:rsidP="003C4A4A">
      <w:pPr>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Lidl (2019) </w:t>
      </w:r>
      <w:r w:rsidRPr="00F731B6">
        <w:rPr>
          <w:rFonts w:ascii="Arial" w:hAnsi="Arial" w:cs="Arial"/>
          <w:i/>
          <w:iCs/>
          <w:sz w:val="18"/>
          <w:szCs w:val="18"/>
        </w:rPr>
        <w:t>Method of production labelling</w:t>
      </w:r>
      <w:r w:rsidRPr="00F731B6">
        <w:rPr>
          <w:rFonts w:ascii="Arial" w:hAnsi="Arial" w:cs="Arial"/>
          <w:sz w:val="18"/>
          <w:szCs w:val="18"/>
        </w:rPr>
        <w:t>. Accessed on 17</w:t>
      </w:r>
      <w:r w:rsidRPr="00F731B6">
        <w:rPr>
          <w:rFonts w:ascii="Arial" w:hAnsi="Arial" w:cs="Arial"/>
          <w:sz w:val="18"/>
          <w:szCs w:val="18"/>
          <w:vertAlign w:val="superscript"/>
        </w:rPr>
        <w:t>th</w:t>
      </w:r>
      <w:r w:rsidRPr="00F731B6">
        <w:rPr>
          <w:rFonts w:ascii="Arial" w:hAnsi="Arial" w:cs="Arial"/>
          <w:sz w:val="18"/>
          <w:szCs w:val="18"/>
        </w:rPr>
        <w:t xml:space="preserve"> October 2019. Online: </w:t>
      </w:r>
      <w:hyperlink r:id="rId11" w:history="1">
        <w:r w:rsidRPr="00F731B6">
          <w:rPr>
            <w:rStyle w:val="Hyperlink"/>
            <w:rFonts w:ascii="Arial" w:hAnsi="Arial" w:cs="Arial"/>
            <w:color w:val="0070C0"/>
            <w:sz w:val="18"/>
            <w:szCs w:val="18"/>
            <w:u w:val="none"/>
          </w:rPr>
          <w:t>https://corporate.lidl.co.uk/sustainability/animal-welfare/mop-labelling</w:t>
        </w:r>
      </w:hyperlink>
    </w:p>
    <w:p w14:paraId="02D41A9D" w14:textId="2A5AEF0C" w:rsidR="003C4A4A" w:rsidRPr="00F731B6" w:rsidRDefault="003C4A4A">
      <w:pPr>
        <w:pStyle w:val="FootnoteText"/>
        <w:rPr>
          <w:sz w:val="18"/>
          <w:szCs w:val="18"/>
        </w:rPr>
      </w:pPr>
    </w:p>
  </w:footnote>
  <w:footnote w:id="13">
    <w:p w14:paraId="1BA64878" w14:textId="427F711F" w:rsidR="003C4A4A" w:rsidRPr="00F731B6" w:rsidRDefault="003C4A4A" w:rsidP="003C4A4A">
      <w:pPr>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Eating Better (2019) Make vegetables and better meat affordable: Leadership in Action, in </w:t>
      </w:r>
      <w:r w:rsidRPr="00F731B6">
        <w:rPr>
          <w:rFonts w:ascii="Arial" w:hAnsi="Arial" w:cs="Arial"/>
          <w:i/>
          <w:iCs/>
          <w:sz w:val="18"/>
          <w:szCs w:val="18"/>
        </w:rPr>
        <w:t xml:space="preserve">Better by Half: A roadmap to less and better meat and dairy. </w:t>
      </w:r>
      <w:r w:rsidRPr="00F731B6">
        <w:rPr>
          <w:rFonts w:ascii="Arial" w:hAnsi="Arial" w:cs="Arial"/>
          <w:sz w:val="18"/>
          <w:szCs w:val="18"/>
        </w:rPr>
        <w:t xml:space="preserve">Online: </w:t>
      </w:r>
      <w:hyperlink r:id="rId12" w:anchor="7-2" w:history="1">
        <w:r w:rsidRPr="00F731B6">
          <w:rPr>
            <w:rStyle w:val="Hyperlink"/>
            <w:rFonts w:ascii="Arial" w:hAnsi="Arial" w:cs="Arial"/>
            <w:color w:val="0070C0"/>
            <w:sz w:val="18"/>
            <w:szCs w:val="18"/>
            <w:u w:val="none"/>
          </w:rPr>
          <w:t>https://www.eating-better.org/betterbyhalf#7-2</w:t>
        </w:r>
      </w:hyperlink>
    </w:p>
    <w:p w14:paraId="6B25D074" w14:textId="307A67F7" w:rsidR="003C4A4A" w:rsidRPr="00F731B6" w:rsidRDefault="003C4A4A">
      <w:pPr>
        <w:pStyle w:val="FootnoteText"/>
        <w:rPr>
          <w:rFonts w:ascii="Arial" w:hAnsi="Arial" w:cs="Arial"/>
          <w:sz w:val="18"/>
          <w:szCs w:val="18"/>
        </w:rPr>
      </w:pPr>
    </w:p>
  </w:footnote>
  <w:footnote w:id="14">
    <w:p w14:paraId="246CB49C" w14:textId="2837A2B9" w:rsidR="003C4A4A" w:rsidRPr="00F731B6" w:rsidRDefault="003C4A4A" w:rsidP="003C4A4A">
      <w:pPr>
        <w:rPr>
          <w:rFonts w:ascii="Arial" w:hAnsi="Arial" w:cs="Arial"/>
          <w:sz w:val="18"/>
          <w:szCs w:val="18"/>
        </w:rPr>
      </w:pPr>
      <w:r w:rsidRPr="00F731B6">
        <w:rPr>
          <w:rStyle w:val="FootnoteReference"/>
          <w:rFonts w:ascii="Arial" w:hAnsi="Arial" w:cs="Arial"/>
          <w:sz w:val="18"/>
          <w:szCs w:val="18"/>
        </w:rPr>
        <w:footnoteRef/>
      </w:r>
      <w:r w:rsidRPr="00F731B6">
        <w:rPr>
          <w:rFonts w:ascii="Arial" w:hAnsi="Arial" w:cs="Arial"/>
          <w:sz w:val="18"/>
          <w:szCs w:val="18"/>
        </w:rPr>
        <w:t xml:space="preserve"> Alexandra Rose Charity (2019) </w:t>
      </w:r>
      <w:r w:rsidRPr="00F731B6">
        <w:rPr>
          <w:rFonts w:ascii="Arial" w:hAnsi="Arial" w:cs="Arial"/>
          <w:i/>
          <w:iCs/>
          <w:sz w:val="18"/>
          <w:szCs w:val="18"/>
        </w:rPr>
        <w:t>Impact</w:t>
      </w:r>
      <w:r w:rsidRPr="00F731B6">
        <w:rPr>
          <w:rFonts w:ascii="Arial" w:hAnsi="Arial" w:cs="Arial"/>
          <w:sz w:val="18"/>
          <w:szCs w:val="18"/>
        </w:rPr>
        <w:t>. Accessed on 17</w:t>
      </w:r>
      <w:r w:rsidRPr="00F731B6">
        <w:rPr>
          <w:rFonts w:ascii="Arial" w:hAnsi="Arial" w:cs="Arial"/>
          <w:sz w:val="18"/>
          <w:szCs w:val="18"/>
          <w:vertAlign w:val="superscript"/>
        </w:rPr>
        <w:t>th</w:t>
      </w:r>
      <w:r w:rsidRPr="00F731B6">
        <w:rPr>
          <w:rFonts w:ascii="Arial" w:hAnsi="Arial" w:cs="Arial"/>
          <w:sz w:val="18"/>
          <w:szCs w:val="18"/>
        </w:rPr>
        <w:t xml:space="preserve"> October 2019. Online: </w:t>
      </w:r>
      <w:hyperlink r:id="rId13" w:history="1">
        <w:r w:rsidRPr="00F731B6">
          <w:rPr>
            <w:rStyle w:val="Hyperlink"/>
            <w:rFonts w:ascii="Arial" w:hAnsi="Arial" w:cs="Arial"/>
            <w:color w:val="0070C0"/>
            <w:sz w:val="18"/>
            <w:szCs w:val="18"/>
            <w:u w:val="none"/>
          </w:rPr>
          <w:t>https://www.alexandrarose.org.uk/impact</w:t>
        </w:r>
      </w:hyperlink>
    </w:p>
    <w:p w14:paraId="1F479611" w14:textId="70DDDF5A" w:rsidR="003C4A4A" w:rsidRDefault="003C4A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8D82" w14:textId="0E15A5D3" w:rsidR="001B7B71" w:rsidRDefault="00026242">
    <w:pPr>
      <w:jc w:val="right"/>
    </w:pPr>
    <w:r>
      <w:rPr>
        <w:noProof/>
      </w:rPr>
      <w:drawing>
        <wp:inline distT="0" distB="0" distL="0" distR="0" wp14:anchorId="08D26B11" wp14:editId="0B6217C3">
          <wp:extent cx="1916694" cy="513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6694" cy="513400"/>
                  </a:xfrm>
                  <a:prstGeom prst="rect">
                    <a:avLst/>
                  </a:prstGeom>
                  <a:ln/>
                </pic:spPr>
              </pic:pic>
            </a:graphicData>
          </a:graphic>
        </wp:inline>
      </w:drawing>
    </w:r>
  </w:p>
  <w:p w14:paraId="6F875290" w14:textId="77777777" w:rsidR="003C4A4A" w:rsidRDefault="003C4A4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proofState w:spelling="clean" w:grammar="clean"/>
  <w:documentProtection w:edit="readOnly" w:enforcement="1" w:cryptProviderType="rsaAES" w:cryptAlgorithmClass="hash" w:cryptAlgorithmType="typeAny" w:cryptAlgorithmSid="14" w:cryptSpinCount="100000" w:hash="FgmAluuRXW30UuNJWwOF3+sT/QulzYp67pWDdZGT70k6aHE2IvUe6aIOxXd17pGrz3gLN6XFUpe1QzIXQ15Aug==" w:salt="5oMdIHp145RWYgQPfSBY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71"/>
    <w:rsid w:val="00026242"/>
    <w:rsid w:val="00030D28"/>
    <w:rsid w:val="001B7B71"/>
    <w:rsid w:val="001B7F48"/>
    <w:rsid w:val="003C4A4A"/>
    <w:rsid w:val="005877DE"/>
    <w:rsid w:val="0059794D"/>
    <w:rsid w:val="00895393"/>
    <w:rsid w:val="008B4954"/>
    <w:rsid w:val="00924045"/>
    <w:rsid w:val="00A725BD"/>
    <w:rsid w:val="00B14DFD"/>
    <w:rsid w:val="00C861C6"/>
    <w:rsid w:val="00E57BDC"/>
    <w:rsid w:val="00F21EB0"/>
    <w:rsid w:val="00F7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0152E"/>
  <w15:docId w15:val="{5A48BDFD-34DD-A045-95F3-13EA00F6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333333"/>
        <w:sz w:val="28"/>
        <w:szCs w:val="28"/>
        <w:lang w:val="en-GB" w:eastAsia="en-GB" w:bidi="ar-SA"/>
      </w:rPr>
    </w:rPrDefault>
    <w:pPrDefault>
      <w:pPr>
        <w:shd w:val="clear" w:color="auto" w:fill="FFFFFF"/>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A4A"/>
    <w:pPr>
      <w:shd w:val="clear" w:color="auto" w:fill="auto"/>
      <w:spacing w:line="240" w:lineRule="auto"/>
    </w:pPr>
    <w:rPr>
      <w:color w:val="auto"/>
      <w:sz w:val="24"/>
      <w:szCs w:val="24"/>
    </w:rPr>
  </w:style>
  <w:style w:type="paragraph" w:styleId="Heading1">
    <w:name w:val="heading 1"/>
    <w:basedOn w:val="Normal"/>
    <w:next w:val="Normal"/>
    <w:uiPriority w:val="9"/>
    <w:qFormat/>
    <w:pPr>
      <w:keepNext/>
      <w:keepLines/>
      <w:shd w:val="clear" w:color="auto" w:fill="FFFFFF"/>
      <w:spacing w:before="400" w:after="120" w:line="276" w:lineRule="auto"/>
      <w:outlineLvl w:val="0"/>
    </w:pPr>
    <w:rPr>
      <w:color w:val="333333"/>
      <w:sz w:val="40"/>
      <w:szCs w:val="40"/>
    </w:rPr>
  </w:style>
  <w:style w:type="paragraph" w:styleId="Heading2">
    <w:name w:val="heading 2"/>
    <w:basedOn w:val="Normal"/>
    <w:next w:val="Normal"/>
    <w:uiPriority w:val="9"/>
    <w:semiHidden/>
    <w:unhideWhenUsed/>
    <w:qFormat/>
    <w:pPr>
      <w:keepNext/>
      <w:keepLines/>
      <w:shd w:val="clear" w:color="auto" w:fill="FFFFFF"/>
      <w:spacing w:before="360" w:after="120" w:line="276" w:lineRule="auto"/>
      <w:outlineLvl w:val="1"/>
    </w:pPr>
    <w:rPr>
      <w:color w:val="333333"/>
      <w:sz w:val="32"/>
      <w:szCs w:val="32"/>
    </w:rPr>
  </w:style>
  <w:style w:type="paragraph" w:styleId="Heading3">
    <w:name w:val="heading 3"/>
    <w:basedOn w:val="Normal"/>
    <w:next w:val="Normal"/>
    <w:uiPriority w:val="9"/>
    <w:semiHidden/>
    <w:unhideWhenUsed/>
    <w:qFormat/>
    <w:pPr>
      <w:keepNext/>
      <w:keepLines/>
      <w:shd w:val="clear" w:color="auto" w:fill="FFFFFF"/>
      <w:spacing w:before="320" w:after="80" w:line="276" w:lineRule="auto"/>
      <w:outlineLvl w:val="2"/>
    </w:pPr>
    <w:rPr>
      <w:color w:val="434343"/>
      <w:sz w:val="28"/>
      <w:szCs w:val="28"/>
    </w:rPr>
  </w:style>
  <w:style w:type="paragraph" w:styleId="Heading4">
    <w:name w:val="heading 4"/>
    <w:basedOn w:val="Normal"/>
    <w:next w:val="Normal"/>
    <w:uiPriority w:val="9"/>
    <w:semiHidden/>
    <w:unhideWhenUsed/>
    <w:qFormat/>
    <w:pPr>
      <w:keepNext/>
      <w:keepLines/>
      <w:shd w:val="clear" w:color="auto" w:fill="FFFFFF"/>
      <w:spacing w:before="280" w:after="80" w:line="276" w:lineRule="auto"/>
      <w:outlineLvl w:val="3"/>
    </w:pPr>
    <w:rPr>
      <w:color w:val="666666"/>
    </w:rPr>
  </w:style>
  <w:style w:type="paragraph" w:styleId="Heading5">
    <w:name w:val="heading 5"/>
    <w:basedOn w:val="Normal"/>
    <w:next w:val="Normal"/>
    <w:uiPriority w:val="9"/>
    <w:semiHidden/>
    <w:unhideWhenUsed/>
    <w:qFormat/>
    <w:pPr>
      <w:keepNext/>
      <w:keepLines/>
      <w:shd w:val="clear" w:color="auto" w:fill="FFFFFF"/>
      <w:spacing w:before="240" w:after="80" w:line="276" w:lineRule="auto"/>
      <w:outlineLvl w:val="4"/>
    </w:pPr>
    <w:rPr>
      <w:color w:val="666666"/>
      <w:sz w:val="22"/>
      <w:szCs w:val="22"/>
    </w:rPr>
  </w:style>
  <w:style w:type="paragraph" w:styleId="Heading6">
    <w:name w:val="heading 6"/>
    <w:basedOn w:val="Normal"/>
    <w:next w:val="Normal"/>
    <w:uiPriority w:val="9"/>
    <w:semiHidden/>
    <w:unhideWhenUsed/>
    <w:qFormat/>
    <w:pPr>
      <w:keepNext/>
      <w:keepLines/>
      <w:shd w:val="clear" w:color="auto" w:fill="FFFFFF"/>
      <w:spacing w:before="240" w:after="80" w:line="276" w:lineRule="auto"/>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60" w:line="276" w:lineRule="auto"/>
    </w:pPr>
    <w:rPr>
      <w:color w:val="333333"/>
      <w:sz w:val="52"/>
      <w:szCs w:val="52"/>
    </w:rPr>
  </w:style>
  <w:style w:type="paragraph" w:styleId="Subtitle">
    <w:name w:val="Subtitle"/>
    <w:basedOn w:val="Normal"/>
    <w:next w:val="Normal"/>
    <w:uiPriority w:val="11"/>
    <w:qFormat/>
    <w:pPr>
      <w:keepNext/>
      <w:keepLines/>
      <w:shd w:val="clear" w:color="auto" w:fill="FFFFFF"/>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hd w:val="clear" w:color="auto" w:fill="FFFFFF"/>
    </w:pPr>
    <w:rPr>
      <w:color w:val="333333"/>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1E8E"/>
    <w:pPr>
      <w:shd w:val="clear" w:color="auto" w:fill="FFFFFF"/>
    </w:pPr>
    <w:rPr>
      <w:color w:val="333333"/>
      <w:sz w:val="18"/>
      <w:szCs w:val="18"/>
    </w:rPr>
  </w:style>
  <w:style w:type="character" w:customStyle="1" w:styleId="BalloonTextChar">
    <w:name w:val="Balloon Text Char"/>
    <w:basedOn w:val="DefaultParagraphFont"/>
    <w:link w:val="BalloonText"/>
    <w:uiPriority w:val="99"/>
    <w:semiHidden/>
    <w:rsid w:val="003F1E8E"/>
    <w:rPr>
      <w:sz w:val="18"/>
      <w:szCs w:val="18"/>
      <w:shd w:val="clear" w:color="auto" w:fill="FFFFFF"/>
    </w:rPr>
  </w:style>
  <w:style w:type="paragraph" w:styleId="Header">
    <w:name w:val="header"/>
    <w:basedOn w:val="Normal"/>
    <w:link w:val="HeaderChar"/>
    <w:uiPriority w:val="99"/>
    <w:unhideWhenUsed/>
    <w:rsid w:val="00FA4EFF"/>
    <w:pPr>
      <w:shd w:val="clear" w:color="auto" w:fill="FFFFFF"/>
      <w:tabs>
        <w:tab w:val="center" w:pos="4680"/>
        <w:tab w:val="right" w:pos="9360"/>
      </w:tabs>
    </w:pPr>
    <w:rPr>
      <w:color w:val="333333"/>
      <w:sz w:val="28"/>
      <w:szCs w:val="28"/>
    </w:rPr>
  </w:style>
  <w:style w:type="character" w:customStyle="1" w:styleId="HeaderChar">
    <w:name w:val="Header Char"/>
    <w:basedOn w:val="DefaultParagraphFont"/>
    <w:link w:val="Header"/>
    <w:uiPriority w:val="99"/>
    <w:rsid w:val="00FA4EFF"/>
    <w:rPr>
      <w:shd w:val="clear" w:color="auto" w:fill="FFFFFF"/>
    </w:rPr>
  </w:style>
  <w:style w:type="paragraph" w:styleId="Footer">
    <w:name w:val="footer"/>
    <w:basedOn w:val="Normal"/>
    <w:link w:val="FooterChar"/>
    <w:uiPriority w:val="99"/>
    <w:unhideWhenUsed/>
    <w:rsid w:val="00FA4EFF"/>
    <w:pPr>
      <w:shd w:val="clear" w:color="auto" w:fill="FFFFFF"/>
      <w:tabs>
        <w:tab w:val="center" w:pos="4680"/>
        <w:tab w:val="right" w:pos="9360"/>
      </w:tabs>
    </w:pPr>
    <w:rPr>
      <w:color w:val="333333"/>
      <w:sz w:val="28"/>
      <w:szCs w:val="28"/>
    </w:rPr>
  </w:style>
  <w:style w:type="character" w:customStyle="1" w:styleId="FooterChar">
    <w:name w:val="Footer Char"/>
    <w:basedOn w:val="DefaultParagraphFont"/>
    <w:link w:val="Footer"/>
    <w:uiPriority w:val="99"/>
    <w:rsid w:val="00FA4EFF"/>
    <w:rPr>
      <w:shd w:val="clear" w:color="auto" w:fill="FFFFFF"/>
    </w:rPr>
  </w:style>
  <w:style w:type="character" w:styleId="Hyperlink">
    <w:name w:val="Hyperlink"/>
    <w:basedOn w:val="DefaultParagraphFont"/>
    <w:uiPriority w:val="99"/>
    <w:unhideWhenUsed/>
    <w:rsid w:val="00D6572F"/>
    <w:rPr>
      <w:color w:val="0000FF" w:themeColor="hyperlink"/>
      <w:u w:val="single"/>
    </w:rPr>
  </w:style>
  <w:style w:type="character" w:styleId="UnresolvedMention">
    <w:name w:val="Unresolved Mention"/>
    <w:basedOn w:val="DefaultParagraphFont"/>
    <w:uiPriority w:val="99"/>
    <w:semiHidden/>
    <w:unhideWhenUsed/>
    <w:rsid w:val="00D6572F"/>
    <w:rPr>
      <w:color w:val="605E5C"/>
      <w:shd w:val="clear" w:color="auto" w:fill="E1DFDD"/>
    </w:rPr>
  </w:style>
  <w:style w:type="character" w:styleId="FollowedHyperlink">
    <w:name w:val="FollowedHyperlink"/>
    <w:basedOn w:val="DefaultParagraphFont"/>
    <w:uiPriority w:val="99"/>
    <w:semiHidden/>
    <w:unhideWhenUsed/>
    <w:rsid w:val="00D6572F"/>
    <w:rPr>
      <w:color w:val="800080" w:themeColor="followedHyperlink"/>
      <w:u w:val="single"/>
    </w:rPr>
  </w:style>
  <w:style w:type="paragraph" w:styleId="FootnoteText">
    <w:name w:val="footnote text"/>
    <w:basedOn w:val="Normal"/>
    <w:link w:val="FootnoteTextChar"/>
    <w:uiPriority w:val="99"/>
    <w:semiHidden/>
    <w:unhideWhenUsed/>
    <w:rsid w:val="003C4A4A"/>
    <w:pPr>
      <w:shd w:val="clear" w:color="auto" w:fill="FFFFFF"/>
    </w:pPr>
    <w:rPr>
      <w:color w:val="333333"/>
      <w:sz w:val="20"/>
      <w:szCs w:val="20"/>
    </w:rPr>
  </w:style>
  <w:style w:type="character" w:customStyle="1" w:styleId="FootnoteTextChar">
    <w:name w:val="Footnote Text Char"/>
    <w:basedOn w:val="DefaultParagraphFont"/>
    <w:link w:val="FootnoteText"/>
    <w:uiPriority w:val="99"/>
    <w:semiHidden/>
    <w:rsid w:val="003C4A4A"/>
    <w:rPr>
      <w:sz w:val="20"/>
      <w:szCs w:val="20"/>
      <w:shd w:val="clear" w:color="auto" w:fill="FFFFFF"/>
    </w:rPr>
  </w:style>
  <w:style w:type="character" w:styleId="FootnoteReference">
    <w:name w:val="footnote reference"/>
    <w:basedOn w:val="DefaultParagraphFont"/>
    <w:uiPriority w:val="99"/>
    <w:semiHidden/>
    <w:unhideWhenUsed/>
    <w:rsid w:val="003C4A4A"/>
    <w:rPr>
      <w:vertAlign w:val="superscript"/>
    </w:rPr>
  </w:style>
  <w:style w:type="character" w:styleId="PageNumber">
    <w:name w:val="page number"/>
    <w:basedOn w:val="DefaultParagraphFont"/>
    <w:uiPriority w:val="99"/>
    <w:semiHidden/>
    <w:unhideWhenUsed/>
    <w:rsid w:val="00F731B6"/>
  </w:style>
  <w:style w:type="paragraph" w:styleId="Revision">
    <w:name w:val="Revision"/>
    <w:hidden/>
    <w:uiPriority w:val="99"/>
    <w:semiHidden/>
    <w:rsid w:val="00F731B6"/>
    <w:pPr>
      <w:shd w:val="clear" w:color="auto" w:fill="auto"/>
      <w:spacing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99953">
      <w:bodyDiv w:val="1"/>
      <w:marLeft w:val="0"/>
      <w:marRight w:val="0"/>
      <w:marTop w:val="0"/>
      <w:marBottom w:val="0"/>
      <w:divBdr>
        <w:top w:val="none" w:sz="0" w:space="0" w:color="auto"/>
        <w:left w:val="none" w:sz="0" w:space="0" w:color="auto"/>
        <w:bottom w:val="none" w:sz="0" w:space="0" w:color="auto"/>
        <w:right w:val="none" w:sz="0" w:space="0" w:color="auto"/>
      </w:divBdr>
    </w:div>
    <w:div w:id="407271282">
      <w:bodyDiv w:val="1"/>
      <w:marLeft w:val="0"/>
      <w:marRight w:val="0"/>
      <w:marTop w:val="0"/>
      <w:marBottom w:val="0"/>
      <w:divBdr>
        <w:top w:val="none" w:sz="0" w:space="0" w:color="auto"/>
        <w:left w:val="none" w:sz="0" w:space="0" w:color="auto"/>
        <w:bottom w:val="none" w:sz="0" w:space="0" w:color="auto"/>
        <w:right w:val="none" w:sz="0" w:space="0" w:color="auto"/>
      </w:divBdr>
    </w:div>
    <w:div w:id="715936621">
      <w:bodyDiv w:val="1"/>
      <w:marLeft w:val="0"/>
      <w:marRight w:val="0"/>
      <w:marTop w:val="0"/>
      <w:marBottom w:val="0"/>
      <w:divBdr>
        <w:top w:val="none" w:sz="0" w:space="0" w:color="auto"/>
        <w:left w:val="none" w:sz="0" w:space="0" w:color="auto"/>
        <w:bottom w:val="none" w:sz="0" w:space="0" w:color="auto"/>
        <w:right w:val="none" w:sz="0" w:space="0" w:color="auto"/>
      </w:divBdr>
    </w:div>
    <w:div w:id="866334011">
      <w:bodyDiv w:val="1"/>
      <w:marLeft w:val="0"/>
      <w:marRight w:val="0"/>
      <w:marTop w:val="0"/>
      <w:marBottom w:val="0"/>
      <w:divBdr>
        <w:top w:val="none" w:sz="0" w:space="0" w:color="auto"/>
        <w:left w:val="none" w:sz="0" w:space="0" w:color="auto"/>
        <w:bottom w:val="none" w:sz="0" w:space="0" w:color="auto"/>
        <w:right w:val="none" w:sz="0" w:space="0" w:color="auto"/>
      </w:divBdr>
    </w:div>
    <w:div w:id="882786929">
      <w:bodyDiv w:val="1"/>
      <w:marLeft w:val="0"/>
      <w:marRight w:val="0"/>
      <w:marTop w:val="0"/>
      <w:marBottom w:val="0"/>
      <w:divBdr>
        <w:top w:val="none" w:sz="0" w:space="0" w:color="auto"/>
        <w:left w:val="none" w:sz="0" w:space="0" w:color="auto"/>
        <w:bottom w:val="none" w:sz="0" w:space="0" w:color="auto"/>
        <w:right w:val="none" w:sz="0" w:space="0" w:color="auto"/>
      </w:divBdr>
    </w:div>
    <w:div w:id="1182550556">
      <w:bodyDiv w:val="1"/>
      <w:marLeft w:val="0"/>
      <w:marRight w:val="0"/>
      <w:marTop w:val="0"/>
      <w:marBottom w:val="0"/>
      <w:divBdr>
        <w:top w:val="none" w:sz="0" w:space="0" w:color="auto"/>
        <w:left w:val="none" w:sz="0" w:space="0" w:color="auto"/>
        <w:bottom w:val="none" w:sz="0" w:space="0" w:color="auto"/>
        <w:right w:val="none" w:sz="0" w:space="0" w:color="auto"/>
      </w:divBdr>
    </w:div>
    <w:div w:id="1339967430">
      <w:bodyDiv w:val="1"/>
      <w:marLeft w:val="0"/>
      <w:marRight w:val="0"/>
      <w:marTop w:val="0"/>
      <w:marBottom w:val="0"/>
      <w:divBdr>
        <w:top w:val="none" w:sz="0" w:space="0" w:color="auto"/>
        <w:left w:val="none" w:sz="0" w:space="0" w:color="auto"/>
        <w:bottom w:val="none" w:sz="0" w:space="0" w:color="auto"/>
        <w:right w:val="none" w:sz="0" w:space="0" w:color="auto"/>
      </w:divBdr>
    </w:div>
    <w:div w:id="1533767707">
      <w:bodyDiv w:val="1"/>
      <w:marLeft w:val="0"/>
      <w:marRight w:val="0"/>
      <w:marTop w:val="0"/>
      <w:marBottom w:val="0"/>
      <w:divBdr>
        <w:top w:val="none" w:sz="0" w:space="0" w:color="auto"/>
        <w:left w:val="none" w:sz="0" w:space="0" w:color="auto"/>
        <w:bottom w:val="none" w:sz="0" w:space="0" w:color="auto"/>
        <w:right w:val="none" w:sz="0" w:space="0" w:color="auto"/>
      </w:divBdr>
    </w:div>
    <w:div w:id="1608272060">
      <w:bodyDiv w:val="1"/>
      <w:marLeft w:val="0"/>
      <w:marRight w:val="0"/>
      <w:marTop w:val="0"/>
      <w:marBottom w:val="0"/>
      <w:divBdr>
        <w:top w:val="none" w:sz="0" w:space="0" w:color="auto"/>
        <w:left w:val="none" w:sz="0" w:space="0" w:color="auto"/>
        <w:bottom w:val="none" w:sz="0" w:space="0" w:color="auto"/>
        <w:right w:val="none" w:sz="0" w:space="0" w:color="auto"/>
      </w:divBdr>
    </w:div>
    <w:div w:id="1620603554">
      <w:bodyDiv w:val="1"/>
      <w:marLeft w:val="0"/>
      <w:marRight w:val="0"/>
      <w:marTop w:val="0"/>
      <w:marBottom w:val="0"/>
      <w:divBdr>
        <w:top w:val="none" w:sz="0" w:space="0" w:color="auto"/>
        <w:left w:val="none" w:sz="0" w:space="0" w:color="auto"/>
        <w:bottom w:val="none" w:sz="0" w:space="0" w:color="auto"/>
        <w:right w:val="none" w:sz="0" w:space="0" w:color="auto"/>
      </w:divBdr>
    </w:div>
    <w:div w:id="1661350693">
      <w:bodyDiv w:val="1"/>
      <w:marLeft w:val="0"/>
      <w:marRight w:val="0"/>
      <w:marTop w:val="0"/>
      <w:marBottom w:val="0"/>
      <w:divBdr>
        <w:top w:val="none" w:sz="0" w:space="0" w:color="auto"/>
        <w:left w:val="none" w:sz="0" w:space="0" w:color="auto"/>
        <w:bottom w:val="none" w:sz="0" w:space="0" w:color="auto"/>
        <w:right w:val="none" w:sz="0" w:space="0" w:color="auto"/>
      </w:divBdr>
    </w:div>
    <w:div w:id="1852718244">
      <w:bodyDiv w:val="1"/>
      <w:marLeft w:val="0"/>
      <w:marRight w:val="0"/>
      <w:marTop w:val="0"/>
      <w:marBottom w:val="0"/>
      <w:divBdr>
        <w:top w:val="none" w:sz="0" w:space="0" w:color="auto"/>
        <w:left w:val="none" w:sz="0" w:space="0" w:color="auto"/>
        <w:bottom w:val="none" w:sz="0" w:space="0" w:color="auto"/>
        <w:right w:val="none" w:sz="0" w:space="0" w:color="auto"/>
      </w:divBdr>
    </w:div>
    <w:div w:id="1922912598">
      <w:bodyDiv w:val="1"/>
      <w:marLeft w:val="0"/>
      <w:marRight w:val="0"/>
      <w:marTop w:val="0"/>
      <w:marBottom w:val="0"/>
      <w:divBdr>
        <w:top w:val="none" w:sz="0" w:space="0" w:color="auto"/>
        <w:left w:val="none" w:sz="0" w:space="0" w:color="auto"/>
        <w:bottom w:val="none" w:sz="0" w:space="0" w:color="auto"/>
        <w:right w:val="none" w:sz="0" w:space="0" w:color="auto"/>
      </w:divBdr>
    </w:div>
    <w:div w:id="198110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ting-better.org/who-we-are/who-we-work-with.html" TargetMode="External"/><Relationship Id="rId13" Type="http://schemas.openxmlformats.org/officeDocument/2006/relationships/hyperlink" Target="https://www.eating-better.org/uploads/Documents/2018/better_meat_report_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ting-better.org/betterbyhalf" TargetMode="External"/><Relationship Id="rId17" Type="http://schemas.openxmlformats.org/officeDocument/2006/relationships/hyperlink" Target="https://www.alexandrarose.org.uk/impact" TargetMode="External"/><Relationship Id="rId2" Type="http://schemas.openxmlformats.org/officeDocument/2006/relationships/customXml" Target="../customXml/item2.xml"/><Relationship Id="rId16" Type="http://schemas.openxmlformats.org/officeDocument/2006/relationships/hyperlink" Target="https://www.eating-better.org/betterbyhal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ing-better.org/betterbyhalf" TargetMode="External"/><Relationship Id="rId5" Type="http://schemas.openxmlformats.org/officeDocument/2006/relationships/webSettings" Target="webSettings.xml"/><Relationship Id="rId15" Type="http://schemas.openxmlformats.org/officeDocument/2006/relationships/hyperlink" Target="https://www.lidl.co.uk/en/Method-of-Production-Labelling-19886.htm" TargetMode="External"/><Relationship Id="rId10" Type="http://schemas.openxmlformats.org/officeDocument/2006/relationships/hyperlink" Target="https://www.eating-better.org/uploads/Documents/2019/YouGov%20survey%20analysis%20PDF%20for%20we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ating-better.org/why-eat-less-better/what-is-better-meat-dairy.html" TargetMode="External"/><Relationship Id="rId14" Type="http://schemas.openxmlformats.org/officeDocument/2006/relationships/hyperlink" Target="https://www.eating-better.org/betterbyhal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ating-better.org/betterbyhalf" TargetMode="External"/><Relationship Id="rId13" Type="http://schemas.openxmlformats.org/officeDocument/2006/relationships/hyperlink" Target="https://www.alexandrarose.org.uk/impact" TargetMode="External"/><Relationship Id="rId3" Type="http://schemas.openxmlformats.org/officeDocument/2006/relationships/hyperlink" Target="https://www.nature.com/articles/s41586-018-0594-0" TargetMode="External"/><Relationship Id="rId7" Type="http://schemas.openxmlformats.org/officeDocument/2006/relationships/hyperlink" Target="https://www.eating-better.org/betterbyhalf" TargetMode="External"/><Relationship Id="rId12" Type="http://schemas.openxmlformats.org/officeDocument/2006/relationships/hyperlink" Target="https://www.eating-better.org/betterbyhalf" TargetMode="External"/><Relationship Id="rId2" Type="http://schemas.openxmlformats.org/officeDocument/2006/relationships/hyperlink" Target="http://nora.nerc.ac.uk/id/eprint/500700/" TargetMode="External"/><Relationship Id="rId1" Type="http://schemas.openxmlformats.org/officeDocument/2006/relationships/hyperlink" Target="https://doi.org/10.1016/j.gloenvcha.2014.02.004" TargetMode="External"/><Relationship Id="rId6" Type="http://schemas.openxmlformats.org/officeDocument/2006/relationships/hyperlink" Target="https://www.eating-better.org/uploads/Documents/2019/YouGov%20survey%20analysis%20PDF%20for%20web.pdf" TargetMode="External"/><Relationship Id="rId11" Type="http://schemas.openxmlformats.org/officeDocument/2006/relationships/hyperlink" Target="https://corporate.lidl.co.uk/sustainability/animal-welfare/mop-labelling" TargetMode="External"/><Relationship Id="rId5" Type="http://schemas.openxmlformats.org/officeDocument/2006/relationships/hyperlink" Target="https://www.eating-better.org/uploads/Documents/2018/better_meat_report_FINAL.pdf" TargetMode="External"/><Relationship Id="rId10" Type="http://schemas.openxmlformats.org/officeDocument/2006/relationships/hyperlink" Target="https://www.eating-better.org/betterbyhalf" TargetMode="External"/><Relationship Id="rId4" Type="http://schemas.openxmlformats.org/officeDocument/2006/relationships/hyperlink" Target="https://doi.org/10.1016/j.gloenvcha.2014.02.004" TargetMode="External"/><Relationship Id="rId9" Type="http://schemas.openxmlformats.org/officeDocument/2006/relationships/hyperlink" Target="https://www.eating-better.org/uploads/Documents/2018/better_meat_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1Vfy7dY3pMLOBSzp7rnjnUNew==">AMUW2mW35OMkkMqLIX6nFZtyKU2fkcDNaNPsT+wW1NGrQ31ErHp0rCOp2Ks7SwLdFeeAK4BvstAU8m3hyGFYsej4QwawE1WFBoi+1FnPkE1fti8gnL7c5O/An+fQBfVyZuT1ZwpNbrLLmhSlCgY9cRiPiM3D3ODr5oAr2zD6KPLroYKGbJKB+XrBbXqYzSGNYWiG3M3NaINDHu6bKhyeVTEdYGPw+G2KHoWJb42i+cElqSt219wtRw0=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598A9F-3453-7D43-81DE-3D2394EF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1581</Words>
  <Characters>8999</Characters>
  <Application>Microsoft Office Word</Application>
  <DocSecurity>10</DocSecurity>
  <Lines>224</Lines>
  <Paragraphs>105</Paragraphs>
  <ScaleCrop>false</ScaleCrop>
  <HeadingPairs>
    <vt:vector size="2" baseType="variant">
      <vt:variant>
        <vt:lpstr>Title</vt:lpstr>
      </vt:variant>
      <vt:variant>
        <vt:i4>1</vt:i4>
      </vt:variant>
    </vt:vector>
  </HeadingPairs>
  <TitlesOfParts>
    <vt:vector size="1" baseType="lpstr">
      <vt:lpstr>National Food Strategy CAll for Evidence, Eating Better response</vt:lpstr>
    </vt:vector>
  </TitlesOfParts>
  <Manager/>
  <Company/>
  <LinksUpToDate>false</LinksUpToDate>
  <CharactersWithSpaces>10475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Food Strategy CAll for Evidence, Eating Better response</dc:title>
  <dc:subject/>
  <dc:creator/>
  <cp:keywords/>
  <dc:description/>
  <cp:lastModifiedBy>Elena Salazar</cp:lastModifiedBy>
  <cp:revision>4</cp:revision>
  <dcterms:created xsi:type="dcterms:W3CDTF">2019-10-21T13:39:00Z</dcterms:created>
  <dcterms:modified xsi:type="dcterms:W3CDTF">2019-10-21T13:47:00Z</dcterms:modified>
  <cp:category/>
</cp:coreProperties>
</file>